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0F" w:rsidRDefault="006F270F" w:rsidP="00496E0C">
      <w:pPr>
        <w:autoSpaceDE w:val="0"/>
        <w:autoSpaceDN w:val="0"/>
        <w:adjustRightInd w:val="0"/>
        <w:jc w:val="center"/>
        <w:rPr>
          <w:b/>
          <w:color w:val="000000"/>
          <w:sz w:val="28"/>
          <w:szCs w:val="28"/>
        </w:rPr>
      </w:pPr>
      <w:bookmarkStart w:id="0" w:name="_GoBack"/>
      <w:bookmarkEnd w:id="0"/>
    </w:p>
    <w:p w:rsidR="006F270F" w:rsidRDefault="006F270F" w:rsidP="00496E0C">
      <w:pPr>
        <w:autoSpaceDE w:val="0"/>
        <w:autoSpaceDN w:val="0"/>
        <w:adjustRightInd w:val="0"/>
        <w:jc w:val="center"/>
        <w:rPr>
          <w:b/>
          <w:color w:val="000000"/>
          <w:sz w:val="28"/>
          <w:szCs w:val="28"/>
        </w:rPr>
      </w:pPr>
    </w:p>
    <w:p w:rsidR="008C69BA" w:rsidRDefault="008C69BA" w:rsidP="00496E0C">
      <w:pPr>
        <w:autoSpaceDE w:val="0"/>
        <w:autoSpaceDN w:val="0"/>
        <w:adjustRightInd w:val="0"/>
        <w:jc w:val="center"/>
        <w:rPr>
          <w:b/>
          <w:color w:val="000000"/>
          <w:sz w:val="28"/>
          <w:szCs w:val="28"/>
        </w:rPr>
      </w:pPr>
    </w:p>
    <w:p w:rsidR="008C69BA" w:rsidRDefault="008C69BA" w:rsidP="00496E0C">
      <w:pPr>
        <w:autoSpaceDE w:val="0"/>
        <w:autoSpaceDN w:val="0"/>
        <w:adjustRightInd w:val="0"/>
        <w:jc w:val="center"/>
        <w:rPr>
          <w:b/>
          <w:color w:val="000000"/>
          <w:sz w:val="28"/>
          <w:szCs w:val="28"/>
        </w:rPr>
      </w:pPr>
    </w:p>
    <w:p w:rsidR="006F270F" w:rsidRDefault="006F270F" w:rsidP="00496E0C">
      <w:pPr>
        <w:autoSpaceDE w:val="0"/>
        <w:autoSpaceDN w:val="0"/>
        <w:adjustRightInd w:val="0"/>
        <w:jc w:val="center"/>
        <w:rPr>
          <w:b/>
          <w:color w:val="000000"/>
          <w:sz w:val="28"/>
          <w:szCs w:val="28"/>
        </w:rPr>
      </w:pPr>
    </w:p>
    <w:p w:rsidR="00E6280C" w:rsidRDefault="00E6280C" w:rsidP="00496E0C">
      <w:pPr>
        <w:autoSpaceDE w:val="0"/>
        <w:autoSpaceDN w:val="0"/>
        <w:adjustRightInd w:val="0"/>
        <w:jc w:val="center"/>
        <w:rPr>
          <w:b/>
          <w:color w:val="000000"/>
          <w:sz w:val="28"/>
          <w:szCs w:val="28"/>
        </w:rPr>
      </w:pPr>
    </w:p>
    <w:p w:rsidR="00E6280C" w:rsidRDefault="00E6280C" w:rsidP="00496E0C">
      <w:pPr>
        <w:autoSpaceDE w:val="0"/>
        <w:autoSpaceDN w:val="0"/>
        <w:adjustRightInd w:val="0"/>
        <w:jc w:val="center"/>
        <w:rPr>
          <w:b/>
          <w:color w:val="000000"/>
          <w:sz w:val="28"/>
          <w:szCs w:val="28"/>
        </w:rPr>
      </w:pPr>
    </w:p>
    <w:p w:rsidR="006F270F" w:rsidRDefault="006F270F" w:rsidP="00496E0C">
      <w:pPr>
        <w:autoSpaceDE w:val="0"/>
        <w:autoSpaceDN w:val="0"/>
        <w:adjustRightInd w:val="0"/>
        <w:jc w:val="center"/>
        <w:rPr>
          <w:b/>
          <w:color w:val="000000"/>
          <w:sz w:val="28"/>
          <w:szCs w:val="28"/>
        </w:rPr>
      </w:pPr>
    </w:p>
    <w:p w:rsidR="00563E21" w:rsidRDefault="00563E21" w:rsidP="00B02DFA">
      <w:pPr>
        <w:autoSpaceDE w:val="0"/>
        <w:autoSpaceDN w:val="0"/>
        <w:adjustRightInd w:val="0"/>
        <w:jc w:val="center"/>
        <w:outlineLvl w:val="0"/>
        <w:rPr>
          <w:b/>
          <w:color w:val="000000"/>
          <w:sz w:val="28"/>
          <w:szCs w:val="28"/>
        </w:rPr>
      </w:pPr>
      <w:r>
        <w:rPr>
          <w:b/>
          <w:color w:val="000000"/>
          <w:sz w:val="28"/>
          <w:szCs w:val="28"/>
        </w:rPr>
        <w:t>Creation and Segmentation of the Euronext Stock Exchange</w:t>
      </w:r>
    </w:p>
    <w:p w:rsidR="00563E21" w:rsidRDefault="00E30193" w:rsidP="00B02DFA">
      <w:pPr>
        <w:autoSpaceDE w:val="0"/>
        <w:autoSpaceDN w:val="0"/>
        <w:adjustRightInd w:val="0"/>
        <w:jc w:val="center"/>
        <w:outlineLvl w:val="0"/>
        <w:rPr>
          <w:b/>
          <w:color w:val="000000"/>
          <w:sz w:val="28"/>
          <w:szCs w:val="28"/>
        </w:rPr>
      </w:pPr>
      <w:proofErr w:type="gramStart"/>
      <w:r>
        <w:rPr>
          <w:b/>
          <w:color w:val="000000"/>
          <w:sz w:val="28"/>
          <w:szCs w:val="28"/>
        </w:rPr>
        <w:t>and</w:t>
      </w:r>
      <w:proofErr w:type="gramEnd"/>
      <w:r w:rsidR="00563E21">
        <w:rPr>
          <w:b/>
          <w:color w:val="000000"/>
          <w:sz w:val="28"/>
          <w:szCs w:val="28"/>
        </w:rPr>
        <w:t xml:space="preserve"> Listed Firms' Liquidity and Accounting Quality:</w:t>
      </w:r>
    </w:p>
    <w:p w:rsidR="00563E21" w:rsidRDefault="00563E21" w:rsidP="00B02DFA">
      <w:pPr>
        <w:autoSpaceDE w:val="0"/>
        <w:autoSpaceDN w:val="0"/>
        <w:adjustRightInd w:val="0"/>
        <w:jc w:val="center"/>
        <w:outlineLvl w:val="0"/>
        <w:rPr>
          <w:b/>
          <w:color w:val="000000"/>
          <w:sz w:val="28"/>
          <w:szCs w:val="28"/>
        </w:rPr>
      </w:pPr>
      <w:r>
        <w:rPr>
          <w:b/>
          <w:color w:val="000000"/>
          <w:sz w:val="28"/>
          <w:szCs w:val="28"/>
        </w:rPr>
        <w:t>Empirical Evidence</w:t>
      </w:r>
    </w:p>
    <w:p w:rsidR="006F270F" w:rsidRDefault="00CA71CF" w:rsidP="00B02DFA">
      <w:pPr>
        <w:autoSpaceDE w:val="0"/>
        <w:autoSpaceDN w:val="0"/>
        <w:adjustRightInd w:val="0"/>
        <w:jc w:val="center"/>
        <w:outlineLvl w:val="0"/>
        <w:rPr>
          <w:b/>
          <w:color w:val="000000"/>
          <w:sz w:val="28"/>
          <w:szCs w:val="28"/>
        </w:rPr>
      </w:pPr>
      <w:r>
        <w:rPr>
          <w:b/>
          <w:color w:val="000000"/>
          <w:sz w:val="28"/>
          <w:szCs w:val="28"/>
        </w:rPr>
        <w:t xml:space="preserve"> </w:t>
      </w:r>
    </w:p>
    <w:p w:rsidR="006F270F" w:rsidRDefault="006F270F" w:rsidP="00496E0C">
      <w:pPr>
        <w:autoSpaceDE w:val="0"/>
        <w:autoSpaceDN w:val="0"/>
        <w:adjustRightInd w:val="0"/>
        <w:jc w:val="center"/>
        <w:rPr>
          <w:b/>
          <w:color w:val="000000"/>
          <w:sz w:val="28"/>
          <w:szCs w:val="28"/>
        </w:rPr>
      </w:pPr>
    </w:p>
    <w:p w:rsidR="006F270F" w:rsidRDefault="006F270F" w:rsidP="00496E0C">
      <w:pPr>
        <w:autoSpaceDE w:val="0"/>
        <w:autoSpaceDN w:val="0"/>
        <w:adjustRightInd w:val="0"/>
        <w:jc w:val="center"/>
        <w:rPr>
          <w:b/>
          <w:color w:val="000000"/>
          <w:sz w:val="28"/>
          <w:szCs w:val="28"/>
        </w:rPr>
      </w:pPr>
    </w:p>
    <w:p w:rsidR="006F270F" w:rsidRDefault="006F270F" w:rsidP="00496E0C">
      <w:pPr>
        <w:autoSpaceDE w:val="0"/>
        <w:autoSpaceDN w:val="0"/>
        <w:adjustRightInd w:val="0"/>
        <w:jc w:val="center"/>
        <w:rPr>
          <w:b/>
          <w:color w:val="000000"/>
          <w:sz w:val="28"/>
          <w:szCs w:val="28"/>
        </w:rPr>
      </w:pPr>
    </w:p>
    <w:p w:rsidR="00E6280C" w:rsidRDefault="00E6280C" w:rsidP="00496E0C">
      <w:pPr>
        <w:autoSpaceDE w:val="0"/>
        <w:autoSpaceDN w:val="0"/>
        <w:adjustRightInd w:val="0"/>
        <w:jc w:val="center"/>
        <w:rPr>
          <w:b/>
          <w:color w:val="000000"/>
          <w:sz w:val="28"/>
          <w:szCs w:val="28"/>
        </w:rPr>
      </w:pPr>
    </w:p>
    <w:p w:rsidR="00E6280C" w:rsidRDefault="00E6280C" w:rsidP="00496E0C">
      <w:pPr>
        <w:autoSpaceDE w:val="0"/>
        <w:autoSpaceDN w:val="0"/>
        <w:adjustRightInd w:val="0"/>
        <w:jc w:val="center"/>
        <w:rPr>
          <w:b/>
          <w:color w:val="000000"/>
          <w:sz w:val="28"/>
          <w:szCs w:val="28"/>
        </w:rPr>
      </w:pPr>
    </w:p>
    <w:p w:rsidR="006F270F" w:rsidRDefault="006F270F" w:rsidP="00B02DFA">
      <w:pPr>
        <w:autoSpaceDE w:val="0"/>
        <w:autoSpaceDN w:val="0"/>
        <w:adjustRightInd w:val="0"/>
        <w:jc w:val="center"/>
        <w:outlineLvl w:val="0"/>
        <w:rPr>
          <w:color w:val="000000"/>
        </w:rPr>
      </w:pPr>
      <w:r>
        <w:rPr>
          <w:color w:val="000000"/>
        </w:rPr>
        <w:t xml:space="preserve">Grace </w:t>
      </w:r>
      <w:proofErr w:type="spellStart"/>
      <w:r>
        <w:rPr>
          <w:color w:val="000000"/>
        </w:rPr>
        <w:t>Pownall</w:t>
      </w:r>
      <w:proofErr w:type="spellEnd"/>
    </w:p>
    <w:p w:rsidR="006F270F" w:rsidRDefault="006F270F" w:rsidP="00B02DFA">
      <w:pPr>
        <w:autoSpaceDE w:val="0"/>
        <w:autoSpaceDN w:val="0"/>
        <w:adjustRightInd w:val="0"/>
        <w:jc w:val="center"/>
        <w:outlineLvl w:val="0"/>
        <w:rPr>
          <w:color w:val="000000"/>
        </w:rPr>
      </w:pPr>
      <w:r>
        <w:rPr>
          <w:color w:val="000000"/>
        </w:rPr>
        <w:t>Goizueta Business School</w:t>
      </w:r>
    </w:p>
    <w:p w:rsidR="00EA399E" w:rsidRDefault="006F270F" w:rsidP="00B02DFA">
      <w:pPr>
        <w:autoSpaceDE w:val="0"/>
        <w:autoSpaceDN w:val="0"/>
        <w:adjustRightInd w:val="0"/>
        <w:jc w:val="center"/>
        <w:outlineLvl w:val="0"/>
        <w:rPr>
          <w:color w:val="000000"/>
        </w:rPr>
      </w:pPr>
      <w:r>
        <w:rPr>
          <w:color w:val="000000"/>
        </w:rPr>
        <w:t>Emory University</w:t>
      </w:r>
    </w:p>
    <w:p w:rsidR="00E6280C" w:rsidRDefault="00E6280C" w:rsidP="00B02DFA">
      <w:pPr>
        <w:autoSpaceDE w:val="0"/>
        <w:autoSpaceDN w:val="0"/>
        <w:adjustRightInd w:val="0"/>
        <w:jc w:val="center"/>
        <w:outlineLvl w:val="0"/>
        <w:rPr>
          <w:color w:val="000000"/>
        </w:rPr>
      </w:pPr>
    </w:p>
    <w:p w:rsidR="00E6280C" w:rsidRDefault="00E6280C" w:rsidP="00B02DFA">
      <w:pPr>
        <w:autoSpaceDE w:val="0"/>
        <w:autoSpaceDN w:val="0"/>
        <w:adjustRightInd w:val="0"/>
        <w:jc w:val="center"/>
        <w:outlineLvl w:val="0"/>
        <w:rPr>
          <w:color w:val="000000"/>
        </w:rPr>
      </w:pPr>
      <w:r>
        <w:rPr>
          <w:color w:val="000000"/>
        </w:rPr>
        <w:t xml:space="preserve">Maria </w:t>
      </w:r>
      <w:proofErr w:type="spellStart"/>
      <w:r>
        <w:rPr>
          <w:color w:val="000000"/>
        </w:rPr>
        <w:t>Vulcheva</w:t>
      </w:r>
      <w:proofErr w:type="spellEnd"/>
    </w:p>
    <w:p w:rsidR="00E6280C" w:rsidRDefault="00E6280C" w:rsidP="00B02DFA">
      <w:pPr>
        <w:autoSpaceDE w:val="0"/>
        <w:autoSpaceDN w:val="0"/>
        <w:adjustRightInd w:val="0"/>
        <w:jc w:val="center"/>
        <w:outlineLvl w:val="0"/>
        <w:rPr>
          <w:color w:val="000000"/>
        </w:rPr>
      </w:pPr>
      <w:r>
        <w:rPr>
          <w:color w:val="000000"/>
        </w:rPr>
        <w:t>Florida International University</w:t>
      </w:r>
    </w:p>
    <w:p w:rsidR="00E6280C" w:rsidRDefault="00E6280C" w:rsidP="00B02DFA">
      <w:pPr>
        <w:autoSpaceDE w:val="0"/>
        <w:autoSpaceDN w:val="0"/>
        <w:adjustRightInd w:val="0"/>
        <w:jc w:val="center"/>
        <w:outlineLvl w:val="0"/>
        <w:rPr>
          <w:color w:val="000000"/>
        </w:rPr>
      </w:pPr>
    </w:p>
    <w:p w:rsidR="00E6280C" w:rsidRDefault="00E6280C" w:rsidP="00B02DFA">
      <w:pPr>
        <w:autoSpaceDE w:val="0"/>
        <w:autoSpaceDN w:val="0"/>
        <w:adjustRightInd w:val="0"/>
        <w:jc w:val="center"/>
        <w:outlineLvl w:val="0"/>
        <w:rPr>
          <w:color w:val="000000"/>
        </w:rPr>
      </w:pPr>
      <w:r>
        <w:rPr>
          <w:color w:val="000000"/>
        </w:rPr>
        <w:t>Xue Wang</w:t>
      </w:r>
    </w:p>
    <w:p w:rsidR="001C67BE" w:rsidRDefault="001C67BE" w:rsidP="00B02DFA">
      <w:pPr>
        <w:autoSpaceDE w:val="0"/>
        <w:autoSpaceDN w:val="0"/>
        <w:adjustRightInd w:val="0"/>
        <w:jc w:val="center"/>
        <w:outlineLvl w:val="0"/>
        <w:rPr>
          <w:color w:val="000000"/>
        </w:rPr>
      </w:pPr>
      <w:r>
        <w:rPr>
          <w:color w:val="000000"/>
        </w:rPr>
        <w:t>Fisher College of Business</w:t>
      </w:r>
    </w:p>
    <w:p w:rsidR="00E6280C" w:rsidRDefault="00EE21EC" w:rsidP="00B02DFA">
      <w:pPr>
        <w:autoSpaceDE w:val="0"/>
        <w:autoSpaceDN w:val="0"/>
        <w:adjustRightInd w:val="0"/>
        <w:jc w:val="center"/>
        <w:outlineLvl w:val="0"/>
        <w:rPr>
          <w:color w:val="000000"/>
        </w:rPr>
      </w:pPr>
      <w:r>
        <w:rPr>
          <w:color w:val="000000"/>
        </w:rPr>
        <w:t xml:space="preserve">The </w:t>
      </w:r>
      <w:r w:rsidR="001C67BE">
        <w:rPr>
          <w:color w:val="000000"/>
        </w:rPr>
        <w:t>Ohio State University</w:t>
      </w:r>
    </w:p>
    <w:p w:rsidR="006F270F" w:rsidRDefault="006F270F" w:rsidP="00496E0C">
      <w:pPr>
        <w:autoSpaceDE w:val="0"/>
        <w:autoSpaceDN w:val="0"/>
        <w:adjustRightInd w:val="0"/>
        <w:jc w:val="center"/>
        <w:rPr>
          <w:color w:val="000000"/>
        </w:rPr>
      </w:pPr>
    </w:p>
    <w:p w:rsidR="00110D1A" w:rsidRDefault="00110D1A" w:rsidP="00496E0C">
      <w:pPr>
        <w:autoSpaceDE w:val="0"/>
        <w:autoSpaceDN w:val="0"/>
        <w:adjustRightInd w:val="0"/>
        <w:jc w:val="center"/>
        <w:rPr>
          <w:color w:val="000000"/>
        </w:rPr>
      </w:pPr>
    </w:p>
    <w:p w:rsidR="006F270F" w:rsidRDefault="00563E21" w:rsidP="00496E0C">
      <w:pPr>
        <w:autoSpaceDE w:val="0"/>
        <w:autoSpaceDN w:val="0"/>
        <w:adjustRightInd w:val="0"/>
        <w:jc w:val="center"/>
        <w:rPr>
          <w:color w:val="000000"/>
        </w:rPr>
      </w:pPr>
      <w:r>
        <w:rPr>
          <w:color w:val="000000"/>
        </w:rPr>
        <w:t>March</w:t>
      </w:r>
      <w:r w:rsidR="00EE21EC">
        <w:rPr>
          <w:color w:val="000000"/>
        </w:rPr>
        <w:t xml:space="preserve"> 2013</w:t>
      </w:r>
    </w:p>
    <w:p w:rsidR="006F270F" w:rsidRDefault="006F270F" w:rsidP="00496E0C">
      <w:pPr>
        <w:autoSpaceDE w:val="0"/>
        <w:autoSpaceDN w:val="0"/>
        <w:adjustRightInd w:val="0"/>
        <w:jc w:val="center"/>
        <w:rPr>
          <w:color w:val="000000"/>
        </w:rPr>
      </w:pPr>
    </w:p>
    <w:p w:rsidR="00E6280C" w:rsidRDefault="00E6280C" w:rsidP="00496E0C">
      <w:pPr>
        <w:autoSpaceDE w:val="0"/>
        <w:autoSpaceDN w:val="0"/>
        <w:adjustRightInd w:val="0"/>
        <w:jc w:val="center"/>
        <w:rPr>
          <w:color w:val="000000"/>
        </w:rPr>
      </w:pPr>
    </w:p>
    <w:p w:rsidR="00E6280C" w:rsidRDefault="00E6280C" w:rsidP="00496E0C">
      <w:pPr>
        <w:autoSpaceDE w:val="0"/>
        <w:autoSpaceDN w:val="0"/>
        <w:adjustRightInd w:val="0"/>
        <w:jc w:val="center"/>
        <w:rPr>
          <w:color w:val="000000"/>
        </w:rPr>
      </w:pPr>
    </w:p>
    <w:p w:rsidR="00E6280C" w:rsidRDefault="00E6280C" w:rsidP="00496E0C">
      <w:pPr>
        <w:autoSpaceDE w:val="0"/>
        <w:autoSpaceDN w:val="0"/>
        <w:adjustRightInd w:val="0"/>
        <w:jc w:val="center"/>
        <w:rPr>
          <w:color w:val="000000"/>
        </w:rPr>
      </w:pPr>
    </w:p>
    <w:p w:rsidR="00E6280C" w:rsidRDefault="00E6280C" w:rsidP="00496E0C">
      <w:pPr>
        <w:autoSpaceDE w:val="0"/>
        <w:autoSpaceDN w:val="0"/>
        <w:adjustRightInd w:val="0"/>
        <w:jc w:val="center"/>
        <w:rPr>
          <w:color w:val="000000"/>
        </w:rPr>
      </w:pPr>
    </w:p>
    <w:p w:rsidR="006D5CD4" w:rsidRDefault="006F270F" w:rsidP="006D5CD4">
      <w:pPr>
        <w:autoSpaceDE w:val="0"/>
        <w:autoSpaceDN w:val="0"/>
        <w:adjustRightInd w:val="0"/>
        <w:jc w:val="both"/>
        <w:rPr>
          <w:color w:val="000000"/>
          <w:sz w:val="22"/>
          <w:szCs w:val="22"/>
        </w:rPr>
      </w:pPr>
      <w:r w:rsidRPr="00F5536C">
        <w:rPr>
          <w:color w:val="000000"/>
          <w:sz w:val="22"/>
          <w:szCs w:val="22"/>
        </w:rPr>
        <w:t xml:space="preserve">We appreciate </w:t>
      </w:r>
      <w:r w:rsidR="00F8613A" w:rsidRPr="00F5536C">
        <w:rPr>
          <w:color w:val="000000"/>
          <w:sz w:val="22"/>
          <w:szCs w:val="22"/>
        </w:rPr>
        <w:t>funding from</w:t>
      </w:r>
      <w:r w:rsidRPr="00F5536C">
        <w:rPr>
          <w:color w:val="000000"/>
          <w:sz w:val="22"/>
          <w:szCs w:val="22"/>
        </w:rPr>
        <w:t xml:space="preserve"> the Goizueta Business School at Emory University</w:t>
      </w:r>
      <w:r w:rsidR="00E30193">
        <w:rPr>
          <w:color w:val="000000"/>
          <w:sz w:val="22"/>
          <w:szCs w:val="22"/>
        </w:rPr>
        <w:t>, Florida International University,</w:t>
      </w:r>
      <w:r w:rsidR="001C67BE">
        <w:rPr>
          <w:color w:val="000000"/>
          <w:sz w:val="22"/>
          <w:szCs w:val="22"/>
        </w:rPr>
        <w:t xml:space="preserve"> and the Fisher College of Business at the Ohio State University</w:t>
      </w:r>
      <w:r w:rsidRPr="00F5536C">
        <w:rPr>
          <w:color w:val="000000"/>
          <w:sz w:val="22"/>
          <w:szCs w:val="22"/>
        </w:rPr>
        <w:t xml:space="preserve">, </w:t>
      </w:r>
      <w:r w:rsidR="004212A1" w:rsidRPr="00F5536C">
        <w:rPr>
          <w:color w:val="000000"/>
          <w:sz w:val="22"/>
          <w:szCs w:val="22"/>
        </w:rPr>
        <w:t xml:space="preserve">research assistance from Ron Harris, </w:t>
      </w:r>
      <w:proofErr w:type="spellStart"/>
      <w:r w:rsidR="004212A1" w:rsidRPr="00F5536C">
        <w:rPr>
          <w:color w:val="000000"/>
          <w:sz w:val="22"/>
          <w:szCs w:val="22"/>
        </w:rPr>
        <w:t>ByungHun</w:t>
      </w:r>
      <w:proofErr w:type="spellEnd"/>
      <w:r w:rsidR="004212A1" w:rsidRPr="00F5536C">
        <w:rPr>
          <w:color w:val="000000"/>
          <w:sz w:val="22"/>
          <w:szCs w:val="22"/>
        </w:rPr>
        <w:t xml:space="preserve"> Chung, Sonia </w:t>
      </w:r>
      <w:proofErr w:type="spellStart"/>
      <w:r w:rsidR="004212A1" w:rsidRPr="00F5536C">
        <w:rPr>
          <w:color w:val="000000"/>
          <w:sz w:val="22"/>
          <w:szCs w:val="22"/>
        </w:rPr>
        <w:t>Shadadpuri</w:t>
      </w:r>
      <w:proofErr w:type="spellEnd"/>
      <w:r w:rsidR="004212A1" w:rsidRPr="00F5536C">
        <w:rPr>
          <w:color w:val="000000"/>
          <w:sz w:val="22"/>
          <w:szCs w:val="22"/>
        </w:rPr>
        <w:t xml:space="preserve">, and </w:t>
      </w:r>
      <w:proofErr w:type="spellStart"/>
      <w:r w:rsidR="004212A1" w:rsidRPr="00F5536C">
        <w:rPr>
          <w:color w:val="000000"/>
          <w:sz w:val="22"/>
          <w:szCs w:val="22"/>
        </w:rPr>
        <w:t>Jochen</w:t>
      </w:r>
      <w:proofErr w:type="spellEnd"/>
      <w:r w:rsidR="004212A1" w:rsidRPr="00F5536C">
        <w:rPr>
          <w:color w:val="000000"/>
          <w:sz w:val="22"/>
          <w:szCs w:val="22"/>
        </w:rPr>
        <w:t xml:space="preserve"> </w:t>
      </w:r>
      <w:proofErr w:type="spellStart"/>
      <w:r w:rsidR="004212A1" w:rsidRPr="00F5536C">
        <w:rPr>
          <w:color w:val="000000"/>
          <w:sz w:val="22"/>
          <w:szCs w:val="22"/>
        </w:rPr>
        <w:t>Pochun</w:t>
      </w:r>
      <w:proofErr w:type="spellEnd"/>
      <w:r w:rsidR="004212A1" w:rsidRPr="00F5536C">
        <w:rPr>
          <w:color w:val="000000"/>
          <w:sz w:val="22"/>
          <w:szCs w:val="22"/>
        </w:rPr>
        <w:t xml:space="preserve"> Chang, </w:t>
      </w:r>
      <w:r w:rsidRPr="00F5536C">
        <w:rPr>
          <w:color w:val="000000"/>
          <w:sz w:val="22"/>
          <w:szCs w:val="22"/>
        </w:rPr>
        <w:t xml:space="preserve">and comments from </w:t>
      </w:r>
      <w:r w:rsidR="00294EEE" w:rsidRPr="00F5536C">
        <w:rPr>
          <w:color w:val="000000"/>
          <w:sz w:val="22"/>
          <w:szCs w:val="22"/>
        </w:rPr>
        <w:t>two anonymous FARS</w:t>
      </w:r>
      <w:r w:rsidR="00753377">
        <w:rPr>
          <w:color w:val="000000"/>
          <w:sz w:val="22"/>
          <w:szCs w:val="22"/>
        </w:rPr>
        <w:t>/IAS</w:t>
      </w:r>
      <w:r w:rsidR="00013ED0" w:rsidRPr="00F5536C">
        <w:rPr>
          <w:color w:val="000000"/>
          <w:sz w:val="22"/>
          <w:szCs w:val="22"/>
        </w:rPr>
        <w:t xml:space="preserve"> reviewers, </w:t>
      </w:r>
      <w:r w:rsidR="00753377">
        <w:rPr>
          <w:color w:val="000000"/>
          <w:sz w:val="22"/>
          <w:szCs w:val="22"/>
        </w:rPr>
        <w:t xml:space="preserve">Marco </w:t>
      </w:r>
      <w:proofErr w:type="spellStart"/>
      <w:r w:rsidR="00753377">
        <w:rPr>
          <w:color w:val="000000"/>
          <w:sz w:val="22"/>
          <w:szCs w:val="22"/>
        </w:rPr>
        <w:t>Trombetta</w:t>
      </w:r>
      <w:proofErr w:type="spellEnd"/>
      <w:r w:rsidR="00753377">
        <w:rPr>
          <w:color w:val="000000"/>
          <w:sz w:val="22"/>
          <w:szCs w:val="22"/>
        </w:rPr>
        <w:t xml:space="preserve"> (the FARS/IAS discussant), </w:t>
      </w:r>
      <w:r w:rsidR="008B089E">
        <w:rPr>
          <w:color w:val="000000"/>
          <w:sz w:val="22"/>
          <w:szCs w:val="22"/>
        </w:rPr>
        <w:t xml:space="preserve">Mary Barth, </w:t>
      </w:r>
      <w:r w:rsidR="00942172">
        <w:rPr>
          <w:color w:val="000000"/>
          <w:sz w:val="22"/>
          <w:szCs w:val="22"/>
        </w:rPr>
        <w:t xml:space="preserve">Dirk Black, </w:t>
      </w:r>
      <w:proofErr w:type="spellStart"/>
      <w:r w:rsidR="00B7711C" w:rsidRPr="00F5536C">
        <w:rPr>
          <w:color w:val="000000"/>
          <w:sz w:val="22"/>
          <w:szCs w:val="22"/>
        </w:rPr>
        <w:t>Jivas</w:t>
      </w:r>
      <w:proofErr w:type="spellEnd"/>
      <w:r w:rsidR="00B7711C" w:rsidRPr="00F5536C">
        <w:rPr>
          <w:color w:val="000000"/>
          <w:sz w:val="22"/>
          <w:szCs w:val="22"/>
        </w:rPr>
        <w:t xml:space="preserve"> </w:t>
      </w:r>
      <w:proofErr w:type="spellStart"/>
      <w:r w:rsidR="00B7711C" w:rsidRPr="00F5536C">
        <w:rPr>
          <w:color w:val="000000"/>
          <w:sz w:val="22"/>
          <w:szCs w:val="22"/>
        </w:rPr>
        <w:t>Chakravarthy</w:t>
      </w:r>
      <w:proofErr w:type="spellEnd"/>
      <w:r w:rsidR="00B7711C" w:rsidRPr="00F5536C">
        <w:rPr>
          <w:color w:val="000000"/>
          <w:sz w:val="22"/>
          <w:szCs w:val="22"/>
        </w:rPr>
        <w:t xml:space="preserve">, </w:t>
      </w:r>
      <w:r w:rsidR="004E0B6A" w:rsidRPr="00F5536C">
        <w:rPr>
          <w:color w:val="000000"/>
          <w:sz w:val="22"/>
          <w:szCs w:val="22"/>
        </w:rPr>
        <w:t xml:space="preserve">Willie Choi, </w:t>
      </w:r>
      <w:r w:rsidR="008B089E">
        <w:rPr>
          <w:color w:val="000000"/>
          <w:sz w:val="22"/>
          <w:szCs w:val="22"/>
        </w:rPr>
        <w:t xml:space="preserve">Justin Hopkins, </w:t>
      </w:r>
      <w:r w:rsidR="00942172">
        <w:rPr>
          <w:color w:val="000000"/>
          <w:sz w:val="22"/>
          <w:szCs w:val="22"/>
        </w:rPr>
        <w:t xml:space="preserve">Bjorn Jorgensen, </w:t>
      </w:r>
      <w:r w:rsidR="00563E21">
        <w:rPr>
          <w:color w:val="000000"/>
          <w:sz w:val="22"/>
          <w:szCs w:val="22"/>
        </w:rPr>
        <w:t xml:space="preserve">Andrew Karolyi, </w:t>
      </w:r>
      <w:r w:rsidR="00942172">
        <w:rPr>
          <w:color w:val="000000"/>
          <w:sz w:val="22"/>
          <w:szCs w:val="22"/>
        </w:rPr>
        <w:t xml:space="preserve">Gerhard </w:t>
      </w:r>
      <w:proofErr w:type="spellStart"/>
      <w:r w:rsidR="00942172">
        <w:rPr>
          <w:color w:val="000000"/>
          <w:sz w:val="22"/>
          <w:szCs w:val="22"/>
        </w:rPr>
        <w:t>Mertens</w:t>
      </w:r>
      <w:proofErr w:type="spellEnd"/>
      <w:r w:rsidR="00942172">
        <w:rPr>
          <w:color w:val="000000"/>
          <w:sz w:val="22"/>
          <w:szCs w:val="22"/>
        </w:rPr>
        <w:t xml:space="preserve">, </w:t>
      </w:r>
      <w:r w:rsidR="00B7711C" w:rsidRPr="00F5536C">
        <w:rPr>
          <w:color w:val="000000"/>
          <w:sz w:val="22"/>
          <w:szCs w:val="22"/>
        </w:rPr>
        <w:t xml:space="preserve">Jenna </w:t>
      </w:r>
      <w:proofErr w:type="spellStart"/>
      <w:r w:rsidR="00B7711C" w:rsidRPr="00F5536C">
        <w:rPr>
          <w:color w:val="000000"/>
          <w:sz w:val="22"/>
          <w:szCs w:val="22"/>
        </w:rPr>
        <w:t>McAuley</w:t>
      </w:r>
      <w:proofErr w:type="spellEnd"/>
      <w:r w:rsidR="00B7711C" w:rsidRPr="00F5536C">
        <w:rPr>
          <w:color w:val="000000"/>
          <w:sz w:val="22"/>
          <w:szCs w:val="22"/>
        </w:rPr>
        <w:t xml:space="preserve">, </w:t>
      </w:r>
      <w:r w:rsidR="00427130" w:rsidRPr="00F5536C">
        <w:rPr>
          <w:color w:val="000000"/>
          <w:sz w:val="22"/>
          <w:szCs w:val="22"/>
        </w:rPr>
        <w:t xml:space="preserve">Shiva </w:t>
      </w:r>
      <w:proofErr w:type="spellStart"/>
      <w:r w:rsidR="00427130" w:rsidRPr="00F5536C">
        <w:rPr>
          <w:color w:val="000000"/>
          <w:sz w:val="22"/>
          <w:szCs w:val="22"/>
        </w:rPr>
        <w:t>Rajgopal</w:t>
      </w:r>
      <w:proofErr w:type="spellEnd"/>
      <w:r w:rsidR="00427130" w:rsidRPr="00F5536C">
        <w:rPr>
          <w:color w:val="000000"/>
          <w:sz w:val="22"/>
          <w:szCs w:val="22"/>
        </w:rPr>
        <w:t xml:space="preserve">, </w:t>
      </w:r>
      <w:r w:rsidR="00B7711C" w:rsidRPr="00F5536C">
        <w:rPr>
          <w:color w:val="000000"/>
          <w:sz w:val="22"/>
          <w:szCs w:val="22"/>
        </w:rPr>
        <w:t xml:space="preserve">Maria </w:t>
      </w:r>
      <w:proofErr w:type="spellStart"/>
      <w:r w:rsidR="00B7711C" w:rsidRPr="00F5536C">
        <w:rPr>
          <w:color w:val="000000"/>
          <w:sz w:val="22"/>
          <w:szCs w:val="22"/>
        </w:rPr>
        <w:t>Wieczynska</w:t>
      </w:r>
      <w:proofErr w:type="spellEnd"/>
      <w:r w:rsidR="00B7711C" w:rsidRPr="00F5536C">
        <w:rPr>
          <w:color w:val="000000"/>
          <w:sz w:val="22"/>
          <w:szCs w:val="22"/>
        </w:rPr>
        <w:t xml:space="preserve">, and </w:t>
      </w:r>
      <w:r w:rsidR="004E0B6A" w:rsidRPr="00F5536C">
        <w:rPr>
          <w:color w:val="000000"/>
          <w:sz w:val="22"/>
          <w:szCs w:val="22"/>
        </w:rPr>
        <w:t xml:space="preserve">workshop </w:t>
      </w:r>
      <w:r w:rsidRPr="00F5536C">
        <w:rPr>
          <w:color w:val="000000"/>
          <w:sz w:val="22"/>
          <w:szCs w:val="22"/>
        </w:rPr>
        <w:t>participa</w:t>
      </w:r>
      <w:r w:rsidR="00D55A1E" w:rsidRPr="00F5536C">
        <w:rPr>
          <w:color w:val="000000"/>
          <w:sz w:val="22"/>
          <w:szCs w:val="22"/>
        </w:rPr>
        <w:t>nts</w:t>
      </w:r>
      <w:r w:rsidRPr="00F5536C">
        <w:rPr>
          <w:color w:val="000000"/>
          <w:sz w:val="22"/>
          <w:szCs w:val="22"/>
        </w:rPr>
        <w:t xml:space="preserve"> </w:t>
      </w:r>
      <w:r w:rsidR="004E0B6A" w:rsidRPr="00F5536C">
        <w:rPr>
          <w:color w:val="000000"/>
          <w:sz w:val="22"/>
          <w:szCs w:val="22"/>
        </w:rPr>
        <w:t xml:space="preserve">at </w:t>
      </w:r>
      <w:r w:rsidR="00D97308" w:rsidRPr="00F5536C">
        <w:rPr>
          <w:color w:val="000000"/>
          <w:sz w:val="22"/>
          <w:szCs w:val="22"/>
        </w:rPr>
        <w:t xml:space="preserve">Southern Methodist and </w:t>
      </w:r>
      <w:r w:rsidR="004E0B6A" w:rsidRPr="00F5536C">
        <w:rPr>
          <w:color w:val="000000"/>
          <w:sz w:val="22"/>
          <w:szCs w:val="22"/>
        </w:rPr>
        <w:t>Emory Universit</w:t>
      </w:r>
      <w:r w:rsidR="00D97308" w:rsidRPr="00F5536C">
        <w:rPr>
          <w:color w:val="000000"/>
          <w:sz w:val="22"/>
          <w:szCs w:val="22"/>
        </w:rPr>
        <w:t>ies</w:t>
      </w:r>
      <w:r w:rsidR="00753377">
        <w:rPr>
          <w:color w:val="000000"/>
          <w:sz w:val="22"/>
          <w:szCs w:val="22"/>
        </w:rPr>
        <w:t>,</w:t>
      </w:r>
      <w:r w:rsidR="00CA71CF" w:rsidRPr="00F5536C">
        <w:rPr>
          <w:color w:val="000000"/>
          <w:sz w:val="22"/>
          <w:szCs w:val="22"/>
        </w:rPr>
        <w:t xml:space="preserve"> the 2010 Nick </w:t>
      </w:r>
      <w:proofErr w:type="spellStart"/>
      <w:r w:rsidR="00CA71CF" w:rsidRPr="00F5536C">
        <w:rPr>
          <w:color w:val="000000"/>
          <w:sz w:val="22"/>
          <w:szCs w:val="22"/>
        </w:rPr>
        <w:t>Dopuch</w:t>
      </w:r>
      <w:proofErr w:type="spellEnd"/>
      <w:r w:rsidR="00CA71CF" w:rsidRPr="00F5536C">
        <w:rPr>
          <w:color w:val="000000"/>
          <w:sz w:val="22"/>
          <w:szCs w:val="22"/>
        </w:rPr>
        <w:t xml:space="preserve"> Conference</w:t>
      </w:r>
      <w:r w:rsidR="00753377">
        <w:rPr>
          <w:color w:val="000000"/>
          <w:sz w:val="22"/>
          <w:szCs w:val="22"/>
        </w:rPr>
        <w:t xml:space="preserve">, the 2011 </w:t>
      </w:r>
      <w:r w:rsidR="00E128A6">
        <w:rPr>
          <w:color w:val="000000"/>
          <w:sz w:val="22"/>
          <w:szCs w:val="22"/>
        </w:rPr>
        <w:t xml:space="preserve">AAA </w:t>
      </w:r>
      <w:r w:rsidR="00753377">
        <w:rPr>
          <w:color w:val="000000"/>
          <w:sz w:val="22"/>
          <w:szCs w:val="22"/>
        </w:rPr>
        <w:t>FARS/IAS Midyear Meeting</w:t>
      </w:r>
      <w:r w:rsidR="00594D61">
        <w:rPr>
          <w:color w:val="000000"/>
          <w:sz w:val="22"/>
          <w:szCs w:val="22"/>
        </w:rPr>
        <w:t>, the 2011 European Accounting Association Annual Congress</w:t>
      </w:r>
      <w:r w:rsidR="00942172">
        <w:rPr>
          <w:color w:val="000000"/>
          <w:sz w:val="22"/>
          <w:szCs w:val="22"/>
        </w:rPr>
        <w:t>, and the 2011 Global Issues in Accounting Conference (UNC Chapel Hill)</w:t>
      </w:r>
      <w:r w:rsidR="004E0B6A" w:rsidRPr="00F5536C">
        <w:rPr>
          <w:color w:val="000000"/>
          <w:sz w:val="22"/>
          <w:szCs w:val="22"/>
        </w:rPr>
        <w:t xml:space="preserve">.  </w:t>
      </w:r>
    </w:p>
    <w:p w:rsidR="00E6280C" w:rsidRDefault="00E6280C" w:rsidP="006D5CD4">
      <w:pPr>
        <w:autoSpaceDE w:val="0"/>
        <w:autoSpaceDN w:val="0"/>
        <w:adjustRightInd w:val="0"/>
        <w:jc w:val="both"/>
        <w:rPr>
          <w:color w:val="000000"/>
          <w:sz w:val="22"/>
          <w:szCs w:val="22"/>
        </w:rPr>
      </w:pPr>
      <w:r>
        <w:rPr>
          <w:color w:val="000000"/>
          <w:sz w:val="22"/>
          <w:szCs w:val="22"/>
        </w:rPr>
        <w:br w:type="page"/>
      </w:r>
    </w:p>
    <w:p w:rsidR="00E6280C" w:rsidRDefault="00E6280C" w:rsidP="006D5CD4">
      <w:pPr>
        <w:autoSpaceDE w:val="0"/>
        <w:autoSpaceDN w:val="0"/>
        <w:adjustRightInd w:val="0"/>
        <w:jc w:val="both"/>
        <w:rPr>
          <w:color w:val="000000"/>
          <w:sz w:val="22"/>
          <w:szCs w:val="22"/>
        </w:rPr>
        <w:sectPr w:rsidR="00E6280C" w:rsidSect="006D5CD4">
          <w:footerReference w:type="default" r:id="rId9"/>
          <w:footerReference w:type="first" r:id="rId10"/>
          <w:pgSz w:w="12240" w:h="15840"/>
          <w:pgMar w:top="1440" w:right="1080" w:bottom="1440" w:left="1080" w:header="720" w:footer="720" w:gutter="0"/>
          <w:pgNumType w:start="0"/>
          <w:cols w:space="720"/>
          <w:titlePg/>
          <w:docGrid w:linePitch="360"/>
        </w:sectPr>
      </w:pPr>
    </w:p>
    <w:p w:rsidR="00E6280C" w:rsidRDefault="00E6280C" w:rsidP="00E6280C">
      <w:pPr>
        <w:autoSpaceDE w:val="0"/>
        <w:autoSpaceDN w:val="0"/>
        <w:adjustRightInd w:val="0"/>
        <w:jc w:val="center"/>
        <w:rPr>
          <w:color w:val="000000"/>
        </w:rPr>
      </w:pPr>
    </w:p>
    <w:p w:rsidR="00E6280C" w:rsidRPr="00496E0C" w:rsidRDefault="00E6280C" w:rsidP="00E6280C">
      <w:pPr>
        <w:autoSpaceDE w:val="0"/>
        <w:autoSpaceDN w:val="0"/>
        <w:adjustRightInd w:val="0"/>
        <w:jc w:val="center"/>
        <w:outlineLvl w:val="0"/>
        <w:rPr>
          <w:b/>
          <w:color w:val="000000"/>
        </w:rPr>
      </w:pPr>
      <w:r>
        <w:rPr>
          <w:b/>
          <w:color w:val="000000"/>
        </w:rPr>
        <w:t>Abstract</w:t>
      </w:r>
    </w:p>
    <w:p w:rsidR="00E6280C" w:rsidRDefault="00E6280C" w:rsidP="00E6280C">
      <w:pPr>
        <w:autoSpaceDE w:val="0"/>
        <w:autoSpaceDN w:val="0"/>
        <w:adjustRightInd w:val="0"/>
        <w:jc w:val="center"/>
        <w:rPr>
          <w:color w:val="000000"/>
        </w:rPr>
      </w:pPr>
    </w:p>
    <w:p w:rsidR="00E6280C" w:rsidRDefault="00E6280C" w:rsidP="00175265">
      <w:pPr>
        <w:jc w:val="both"/>
      </w:pPr>
      <w:r>
        <w:t xml:space="preserve">A primary goal of cross-border stock exchange mergers is to create deeper pools of liquidity.  We investigate whether and how the formation of the Euronext stock exchange (from the </w:t>
      </w:r>
      <w:r w:rsidR="001C67BE">
        <w:t xml:space="preserve">Amsterdam, </w:t>
      </w:r>
      <w:r>
        <w:t>Brussels</w:t>
      </w:r>
      <w:r w:rsidR="001C67BE">
        <w:t>, Paris, and Lisbon</w:t>
      </w:r>
      <w:r>
        <w:t xml:space="preserve"> exchanges) accomplished this goal. To facilitate deeper pools of liquidity, Euronext integrated the four trading platforms</w:t>
      </w:r>
      <w:r w:rsidR="002C2B3D">
        <w:t xml:space="preserve"> and </w:t>
      </w:r>
      <w:r w:rsidR="00C37E79">
        <w:t xml:space="preserve">started </w:t>
      </w:r>
      <w:r w:rsidR="002C2B3D">
        <w:t>clear</w:t>
      </w:r>
      <w:r w:rsidR="00C37E79">
        <w:t>ing</w:t>
      </w:r>
      <w:r w:rsidR="002C2B3D">
        <w:t xml:space="preserve"> all trades through the same system</w:t>
      </w:r>
      <w:r w:rsidR="00563E21">
        <w:t>, allowing</w:t>
      </w:r>
      <w:r>
        <w:t xml:space="preserve"> investors to trade equities of companies from all four countries, incurring transaction costs no higher than for securities from domestic companies</w:t>
      </w:r>
      <w:r w:rsidR="002C2B3D">
        <w:t>.</w:t>
      </w:r>
      <w:r>
        <w:t xml:space="preserve"> In addition, Euronext created two named segments</w:t>
      </w:r>
      <w:r w:rsidR="00BF2975">
        <w:t xml:space="preserve"> </w:t>
      </w:r>
      <w:r w:rsidR="00563E21">
        <w:t>on which</w:t>
      </w:r>
      <w:r>
        <w:t xml:space="preserve"> firms could choose to </w:t>
      </w:r>
      <w:r w:rsidR="00563E21">
        <w:t>be listed</w:t>
      </w:r>
      <w:r>
        <w:t xml:space="preserve"> by committing to enhanced financial reporting quality and transparency.   </w:t>
      </w:r>
    </w:p>
    <w:p w:rsidR="00E6280C" w:rsidRDefault="00E6280C" w:rsidP="00175265">
      <w:pPr>
        <w:jc w:val="both"/>
      </w:pPr>
    </w:p>
    <w:p w:rsidR="00E6280C" w:rsidRPr="00E128A6" w:rsidRDefault="00E6280C" w:rsidP="00175265">
      <w:pPr>
        <w:jc w:val="both"/>
      </w:pPr>
      <w:r>
        <w:t xml:space="preserve">We find that Euronext firms suffered the same decreased liquidity as other European firms during the </w:t>
      </w:r>
      <w:r w:rsidR="00BF2975">
        <w:t xml:space="preserve">sample </w:t>
      </w:r>
      <w:r>
        <w:t xml:space="preserve">period, but when we separate segment firms from non-segment firms, we find that the liquidity of segment firms increased at the time of the merger.  </w:t>
      </w:r>
      <w:r w:rsidR="00563E21">
        <w:t>To ensure that the liquidity benefits are linked to firms' pre-commitments to transparency and reporting quality, we exploit the cross-sectional diffe</w:t>
      </w:r>
      <w:r w:rsidR="001334CA">
        <w:t>r</w:t>
      </w:r>
      <w:r w:rsidR="00563E21">
        <w:t>ences in the extent to which segment firms complied with the provisions of their Commitment Agreements.  We</w:t>
      </w:r>
      <w:r w:rsidR="003B6ABF">
        <w:t xml:space="preserve"> find that liquidity for those segment firms that complied more fully with the provisions of their Commitment Agreements increased more than did liquidity for segment firms that complied less fully. </w:t>
      </w:r>
      <w:r>
        <w:t>We conclude that listing on the named segments was associated with increased liquidity</w:t>
      </w:r>
      <w:r w:rsidR="003B6ABF">
        <w:t>, as was compliance with the segment requirements</w:t>
      </w:r>
      <w:r>
        <w:t>.</w:t>
      </w:r>
      <w:r w:rsidR="003B6ABF">
        <w:t xml:space="preserve"> </w:t>
      </w:r>
      <w:r>
        <w:t xml:space="preserve">We also find evidence of increases in accounting quality for segment firms relative to non-segment firms using a number of </w:t>
      </w:r>
      <w:r w:rsidR="003B6ABF">
        <w:t xml:space="preserve">accounting quality proxies </w:t>
      </w:r>
      <w:r>
        <w:t xml:space="preserve">prevalent in the literature, and evidence </w:t>
      </w:r>
      <w:r w:rsidR="00BF2975">
        <w:t xml:space="preserve">of larger </w:t>
      </w:r>
      <w:r>
        <w:t xml:space="preserve">increases in </w:t>
      </w:r>
      <w:r w:rsidR="003B6ABF">
        <w:t xml:space="preserve">accounting quality </w:t>
      </w:r>
      <w:r>
        <w:t xml:space="preserve">for the segment firms that complied more fully with their pre-commitments.   </w:t>
      </w:r>
    </w:p>
    <w:p w:rsidR="00E6280C" w:rsidRDefault="00E6280C" w:rsidP="00E6280C">
      <w:pPr>
        <w:autoSpaceDE w:val="0"/>
        <w:autoSpaceDN w:val="0"/>
        <w:adjustRightInd w:val="0"/>
        <w:jc w:val="center"/>
        <w:rPr>
          <w:color w:val="000000"/>
        </w:rPr>
      </w:pPr>
    </w:p>
    <w:p w:rsidR="00E6280C" w:rsidRDefault="00E6280C" w:rsidP="006D5CD4">
      <w:pPr>
        <w:autoSpaceDE w:val="0"/>
        <w:autoSpaceDN w:val="0"/>
        <w:adjustRightInd w:val="0"/>
        <w:jc w:val="both"/>
        <w:rPr>
          <w:color w:val="000000"/>
          <w:sz w:val="22"/>
          <w:szCs w:val="22"/>
        </w:rPr>
        <w:sectPr w:rsidR="00E6280C" w:rsidSect="006D5CD4">
          <w:pgSz w:w="12240" w:h="15840"/>
          <w:pgMar w:top="1440" w:right="1080" w:bottom="1440" w:left="1080" w:header="720" w:footer="720" w:gutter="0"/>
          <w:pgNumType w:start="0"/>
          <w:cols w:space="720"/>
          <w:titlePg/>
          <w:docGrid w:linePitch="360"/>
        </w:sectPr>
      </w:pPr>
    </w:p>
    <w:p w:rsidR="00563E21" w:rsidRPr="00563E21" w:rsidRDefault="00563E21" w:rsidP="00563E21">
      <w:pPr>
        <w:autoSpaceDE w:val="0"/>
        <w:autoSpaceDN w:val="0"/>
        <w:adjustRightInd w:val="0"/>
        <w:jc w:val="center"/>
        <w:outlineLvl w:val="0"/>
        <w:rPr>
          <w:b/>
          <w:color w:val="000000"/>
        </w:rPr>
      </w:pPr>
      <w:r w:rsidRPr="00563E21">
        <w:rPr>
          <w:b/>
          <w:color w:val="000000"/>
        </w:rPr>
        <w:lastRenderedPageBreak/>
        <w:t>Creation and Segmentation of the Euronext Stock Exchange</w:t>
      </w:r>
    </w:p>
    <w:p w:rsidR="00563E21" w:rsidRPr="00563E21" w:rsidRDefault="00E30193" w:rsidP="00563E21">
      <w:pPr>
        <w:autoSpaceDE w:val="0"/>
        <w:autoSpaceDN w:val="0"/>
        <w:adjustRightInd w:val="0"/>
        <w:jc w:val="center"/>
        <w:outlineLvl w:val="0"/>
        <w:rPr>
          <w:b/>
          <w:color w:val="000000"/>
        </w:rPr>
      </w:pPr>
      <w:proofErr w:type="gramStart"/>
      <w:r>
        <w:rPr>
          <w:b/>
          <w:color w:val="000000"/>
        </w:rPr>
        <w:t>and</w:t>
      </w:r>
      <w:proofErr w:type="gramEnd"/>
      <w:r w:rsidRPr="00563E21">
        <w:rPr>
          <w:b/>
          <w:color w:val="000000"/>
        </w:rPr>
        <w:t xml:space="preserve"> </w:t>
      </w:r>
      <w:r w:rsidR="00563E21" w:rsidRPr="00563E21">
        <w:rPr>
          <w:b/>
          <w:color w:val="000000"/>
        </w:rPr>
        <w:t>Listed Firms' Liquidity and Accounting Quality:</w:t>
      </w:r>
    </w:p>
    <w:p w:rsidR="00563E21" w:rsidRDefault="00563E21" w:rsidP="00563E21">
      <w:pPr>
        <w:autoSpaceDE w:val="0"/>
        <w:autoSpaceDN w:val="0"/>
        <w:adjustRightInd w:val="0"/>
        <w:jc w:val="center"/>
        <w:outlineLvl w:val="0"/>
        <w:rPr>
          <w:b/>
          <w:color w:val="000000"/>
          <w:sz w:val="28"/>
          <w:szCs w:val="28"/>
        </w:rPr>
      </w:pPr>
      <w:r w:rsidRPr="00563E21">
        <w:rPr>
          <w:b/>
          <w:color w:val="000000"/>
        </w:rPr>
        <w:t>Empirical Evidence</w:t>
      </w:r>
    </w:p>
    <w:p w:rsidR="00DD2BC3" w:rsidRPr="00A03000" w:rsidRDefault="00DD2BC3" w:rsidP="00A03000">
      <w:pPr>
        <w:autoSpaceDE w:val="0"/>
        <w:autoSpaceDN w:val="0"/>
        <w:adjustRightInd w:val="0"/>
        <w:jc w:val="center"/>
        <w:rPr>
          <w:b/>
          <w:color w:val="000000"/>
        </w:rPr>
      </w:pPr>
    </w:p>
    <w:p w:rsidR="00A03000" w:rsidRDefault="00A03000" w:rsidP="005B17DE">
      <w:pPr>
        <w:autoSpaceDE w:val="0"/>
        <w:autoSpaceDN w:val="0"/>
        <w:adjustRightInd w:val="0"/>
        <w:jc w:val="both"/>
        <w:rPr>
          <w:color w:val="000000"/>
          <w:sz w:val="22"/>
          <w:szCs w:val="22"/>
        </w:rPr>
      </w:pPr>
    </w:p>
    <w:p w:rsidR="00C57A8A" w:rsidRDefault="007C47DD" w:rsidP="00513109">
      <w:pPr>
        <w:autoSpaceDE w:val="0"/>
        <w:autoSpaceDN w:val="0"/>
        <w:adjustRightInd w:val="0"/>
        <w:spacing w:line="480" w:lineRule="auto"/>
        <w:jc w:val="both"/>
        <w:rPr>
          <w:b/>
          <w:color w:val="000000"/>
        </w:rPr>
      </w:pPr>
      <w:r>
        <w:rPr>
          <w:b/>
          <w:color w:val="000000"/>
        </w:rPr>
        <w:t xml:space="preserve"> </w:t>
      </w:r>
      <w:r w:rsidR="005127BC">
        <w:rPr>
          <w:b/>
          <w:color w:val="000000"/>
        </w:rPr>
        <w:t>1.</w:t>
      </w:r>
      <w:r w:rsidR="005127BC">
        <w:rPr>
          <w:b/>
          <w:color w:val="000000"/>
        </w:rPr>
        <w:tab/>
        <w:t>Introduction</w:t>
      </w:r>
    </w:p>
    <w:p w:rsidR="00FB259B" w:rsidRDefault="00513109" w:rsidP="00175265">
      <w:pPr>
        <w:spacing w:line="480" w:lineRule="auto"/>
        <w:jc w:val="both"/>
      </w:pPr>
      <w:r>
        <w:tab/>
      </w:r>
      <w:r w:rsidR="005466B0">
        <w:t>A primary</w:t>
      </w:r>
      <w:r>
        <w:t xml:space="preserve"> goal of stock exchange mergers is to create bigger and deeper pools of liquidity.  The benefits to investors are lower transactions costs, easier information consolidation and price discovery, and more efficient prices.  The benefits to the exchanges are increased revenues from trading and listing fees, data </w:t>
      </w:r>
      <w:r w:rsidR="006B2779">
        <w:t>provision</w:t>
      </w:r>
      <w:r>
        <w:t>, and increased market share. The exchanges and investors also suffer less information asymmetry risk.</w:t>
      </w:r>
      <w:r w:rsidR="00FB259B">
        <w:t xml:space="preserve"> Arnold, </w:t>
      </w:r>
      <w:proofErr w:type="spellStart"/>
      <w:r w:rsidR="00FB259B">
        <w:t>Hersch</w:t>
      </w:r>
      <w:proofErr w:type="spellEnd"/>
      <w:r w:rsidR="00FB259B">
        <w:t xml:space="preserve">, </w:t>
      </w:r>
      <w:proofErr w:type="spellStart"/>
      <w:r w:rsidR="00FB259B">
        <w:t>Mulherin</w:t>
      </w:r>
      <w:proofErr w:type="spellEnd"/>
      <w:r w:rsidR="00FB259B">
        <w:t xml:space="preserve">, and Netter (1999) document that </w:t>
      </w:r>
      <w:r w:rsidR="00581ECA">
        <w:t xml:space="preserve">the </w:t>
      </w:r>
      <w:r w:rsidR="00FB259B">
        <w:t xml:space="preserve">merger of three US regional stock exchanges in </w:t>
      </w:r>
      <w:r w:rsidR="005161B8">
        <w:t>the middle of the last century was</w:t>
      </w:r>
      <w:r w:rsidR="00FB259B">
        <w:t xml:space="preserve"> associated with inc</w:t>
      </w:r>
      <w:r w:rsidR="00581ECA">
        <w:t xml:space="preserve">reased liquidity and market shares from other exchanges. However, it is not clear </w:t>
      </w:r>
      <w:r w:rsidR="00EE21EC">
        <w:t xml:space="preserve">that </w:t>
      </w:r>
      <w:r w:rsidR="00581ECA">
        <w:t xml:space="preserve">such benefits can be achieved in </w:t>
      </w:r>
      <w:r w:rsidR="00084229">
        <w:t xml:space="preserve">the context of </w:t>
      </w:r>
      <w:r w:rsidR="00581ECA">
        <w:t xml:space="preserve">a cross-border stock exchange merger. </w:t>
      </w:r>
      <w:r w:rsidR="00991AA5">
        <w:t xml:space="preserve">Studying changes in liquidity following the Euronext merger, </w:t>
      </w:r>
      <w:proofErr w:type="spellStart"/>
      <w:r w:rsidR="00991AA5">
        <w:t>Nielsson</w:t>
      </w:r>
      <w:proofErr w:type="spellEnd"/>
      <w:r w:rsidR="00991AA5">
        <w:t xml:space="preserve"> (2009) </w:t>
      </w:r>
      <w:r w:rsidR="00084229">
        <w:t>finds</w:t>
      </w:r>
      <w:r w:rsidR="00991AA5">
        <w:t xml:space="preserve"> that liquidity benefits are not evenly distributed across firms but are instead limited to </w:t>
      </w:r>
      <w:r w:rsidR="00250358">
        <w:t xml:space="preserve">large </w:t>
      </w:r>
      <w:r w:rsidR="00991AA5">
        <w:t xml:space="preserve">firms </w:t>
      </w:r>
      <w:r w:rsidR="00250358">
        <w:t>and firms that operate internationally</w:t>
      </w:r>
      <w:r w:rsidR="00563E21">
        <w:t>.  This result suggests</w:t>
      </w:r>
      <w:r w:rsidR="00991AA5">
        <w:t xml:space="preserve"> that firms</w:t>
      </w:r>
      <w:r w:rsidR="005161B8">
        <w:t>' ability</w:t>
      </w:r>
      <w:r w:rsidR="00991AA5">
        <w:t xml:space="preserve"> to benefit from stock exchange mergers is dependent on firm-specific characteristics, with nothing added by the newly integrated trading platform or the changes in its structure.</w:t>
      </w:r>
      <w:r w:rsidR="00991AA5" w:rsidRPr="00991AA5">
        <w:t xml:space="preserve"> </w:t>
      </w:r>
      <w:r w:rsidR="00563E21">
        <w:t xml:space="preserve">Since </w:t>
      </w:r>
      <w:r w:rsidR="00991AA5">
        <w:t xml:space="preserve">larger, internationally active firms already have at their disposal alternative mechanisms </w:t>
      </w:r>
      <w:r w:rsidR="00563E21">
        <w:t xml:space="preserve">to pre-commit to transparency and thereby enhance liquidity, </w:t>
      </w:r>
      <w:r w:rsidR="00991AA5">
        <w:t>such as cross-listing abroad</w:t>
      </w:r>
      <w:r w:rsidR="00563E21">
        <w:t xml:space="preserve">, it is unclear what if any </w:t>
      </w:r>
      <w:proofErr w:type="gramStart"/>
      <w:r w:rsidR="00563E21">
        <w:t>benefits  firms</w:t>
      </w:r>
      <w:proofErr w:type="gramEnd"/>
      <w:r w:rsidR="00563E21">
        <w:t xml:space="preserve"> realize following a cross-border exchange merger</w:t>
      </w:r>
      <w:r w:rsidR="00991AA5">
        <w:t>.</w:t>
      </w:r>
    </w:p>
    <w:p w:rsidR="00513109" w:rsidRDefault="005161B8" w:rsidP="00FB259B">
      <w:pPr>
        <w:spacing w:line="480" w:lineRule="auto"/>
        <w:ind w:firstLine="720"/>
        <w:jc w:val="both"/>
      </w:pPr>
      <w:r>
        <w:t>F</w:t>
      </w:r>
      <w:r w:rsidR="00BF3ACE">
        <w:t xml:space="preserve">irms’ credible commitments to transparency </w:t>
      </w:r>
      <w:r w:rsidR="00084229">
        <w:t>are</w:t>
      </w:r>
      <w:r w:rsidR="00BF3ACE">
        <w:t xml:space="preserve"> not explicitly considered in </w:t>
      </w:r>
      <w:proofErr w:type="spellStart"/>
      <w:r w:rsidR="00BF3ACE">
        <w:t>Nielsson</w:t>
      </w:r>
      <w:proofErr w:type="spellEnd"/>
      <w:r w:rsidR="00BF3ACE">
        <w:t xml:space="preserve"> (2009), </w:t>
      </w:r>
      <w:r>
        <w:t>but</w:t>
      </w:r>
      <w:r w:rsidR="00BF3ACE">
        <w:t xml:space="preserve"> prior studies (e.g., </w:t>
      </w:r>
      <w:proofErr w:type="spellStart"/>
      <w:r w:rsidR="00BF3ACE">
        <w:t>Leuz</w:t>
      </w:r>
      <w:proofErr w:type="spellEnd"/>
      <w:r w:rsidR="00BF3ACE">
        <w:t xml:space="preserve"> and </w:t>
      </w:r>
      <w:proofErr w:type="spellStart"/>
      <w:r w:rsidR="00BF3ACE">
        <w:t>Verrecchia</w:t>
      </w:r>
      <w:proofErr w:type="spellEnd"/>
      <w:r w:rsidR="00BF3ACE">
        <w:t>, 2000)</w:t>
      </w:r>
      <w:r w:rsidR="00991AA5">
        <w:t xml:space="preserve"> </w:t>
      </w:r>
      <w:r w:rsidR="00BF3ACE">
        <w:t xml:space="preserve">suggest </w:t>
      </w:r>
      <w:r>
        <w:t>increased transparency is</w:t>
      </w:r>
      <w:r w:rsidR="00BF3ACE">
        <w:t xml:space="preserve"> associated with greater liquidity. </w:t>
      </w:r>
      <w:r w:rsidR="006B2779">
        <w:t xml:space="preserve">In this paper, we </w:t>
      </w:r>
      <w:r w:rsidR="000109A7">
        <w:t xml:space="preserve">revisit </w:t>
      </w:r>
      <w:r w:rsidR="00EE21EC">
        <w:t xml:space="preserve">the </w:t>
      </w:r>
      <w:proofErr w:type="spellStart"/>
      <w:r w:rsidR="000109A7">
        <w:t>Nielsson</w:t>
      </w:r>
      <w:proofErr w:type="spellEnd"/>
      <w:r w:rsidR="000109A7">
        <w:t xml:space="preserve"> (2009) study by offering a new approach to investigating the impact of cross-border stock exchange mergers on liquidity of listed companies. In addition to the role of </w:t>
      </w:r>
      <w:r w:rsidR="00BF3ACE">
        <w:t>the integrated</w:t>
      </w:r>
      <w:r w:rsidR="00ED2FAE">
        <w:t xml:space="preserve"> trading platform</w:t>
      </w:r>
      <w:r w:rsidR="000109A7">
        <w:t xml:space="preserve"> </w:t>
      </w:r>
      <w:r w:rsidR="00BF3ACE">
        <w:t>a</w:t>
      </w:r>
      <w:r w:rsidR="00C31C51">
        <w:t>s a result</w:t>
      </w:r>
      <w:r w:rsidR="00BF3ACE">
        <w:t xml:space="preserve"> of</w:t>
      </w:r>
      <w:r w:rsidR="00EE21EC">
        <w:t xml:space="preserve"> </w:t>
      </w:r>
      <w:r w:rsidR="00BF3ACE">
        <w:t xml:space="preserve">the </w:t>
      </w:r>
      <w:r w:rsidR="00EE21EC">
        <w:t xml:space="preserve">stock exchange merger, we </w:t>
      </w:r>
      <w:r w:rsidR="00C31C51">
        <w:lastRenderedPageBreak/>
        <w:t>broaden the scope of inquir</w:t>
      </w:r>
      <w:r w:rsidR="00B94153">
        <w:t>y</w:t>
      </w:r>
      <w:r w:rsidR="00C31C51">
        <w:t xml:space="preserve"> by considering differences in the presentation and transparency of financial information and in regulatory environments.  We also </w:t>
      </w:r>
      <w:r w:rsidR="006B2779">
        <w:t xml:space="preserve">investigate whether it is possible for the newly consolidated exchange to make structural changes that facilitate the </w:t>
      </w:r>
      <w:r w:rsidR="00EE21EC">
        <w:t>improvement in liquidity</w:t>
      </w:r>
      <w:r w:rsidR="006B2779">
        <w:t xml:space="preserve">. </w:t>
      </w:r>
    </w:p>
    <w:p w:rsidR="00513109" w:rsidRPr="00271905" w:rsidRDefault="00513109" w:rsidP="00175265">
      <w:pPr>
        <w:spacing w:line="480" w:lineRule="auto"/>
        <w:jc w:val="both"/>
      </w:pPr>
      <w:r>
        <w:tab/>
        <w:t xml:space="preserve">Euronext was formed </w:t>
      </w:r>
      <w:r w:rsidR="00A83BD9">
        <w:t>between 200</w:t>
      </w:r>
      <w:r w:rsidR="00A77B71">
        <w:t>0</w:t>
      </w:r>
      <w:r w:rsidR="00A83BD9">
        <w:t xml:space="preserve"> and 200</w:t>
      </w:r>
      <w:r w:rsidR="00A77B71">
        <w:t>2</w:t>
      </w:r>
      <w:r w:rsidR="00A83BD9">
        <w:t xml:space="preserve"> </w:t>
      </w:r>
      <w:r>
        <w:t xml:space="preserve">by the merger of the </w:t>
      </w:r>
      <w:r w:rsidR="005D2175">
        <w:t>Amsterdam</w:t>
      </w:r>
      <w:r>
        <w:t xml:space="preserve">, </w:t>
      </w:r>
      <w:r w:rsidR="005D2175">
        <w:t xml:space="preserve">Brussels, </w:t>
      </w:r>
      <w:r>
        <w:t xml:space="preserve">Paris, and </w:t>
      </w:r>
      <w:r w:rsidR="005D2175">
        <w:t xml:space="preserve">Lisbon </w:t>
      </w:r>
      <w:r>
        <w:t xml:space="preserve">exchanges.  To facilitate deeper pools of liquidity in listed firms' equities, Euronext formed </w:t>
      </w:r>
      <w:r w:rsidR="00BF739D">
        <w:t xml:space="preserve">an </w:t>
      </w:r>
      <w:r>
        <w:t>integrated trading platform</w:t>
      </w:r>
      <w:r w:rsidR="00F200E6">
        <w:t>,</w:t>
      </w:r>
      <w:r w:rsidR="00F200E6">
        <w:rPr>
          <w:rStyle w:val="FootnoteReference"/>
        </w:rPr>
        <w:footnoteReference w:id="1"/>
      </w:r>
      <w:r>
        <w:t xml:space="preserve"> on which investors from all four countries could buy and sell securities of companies from all four countries</w:t>
      </w:r>
      <w:r w:rsidR="00F200E6">
        <w:t xml:space="preserve"> in one marketplace</w:t>
      </w:r>
      <w:r>
        <w:t xml:space="preserve">, incurring transaction costs no higher than for </w:t>
      </w:r>
      <w:r w:rsidR="00F200E6">
        <w:t xml:space="preserve">domestic firms' </w:t>
      </w:r>
      <w:r>
        <w:t xml:space="preserve">securities and </w:t>
      </w:r>
      <w:r w:rsidR="00F200E6">
        <w:t xml:space="preserve">with </w:t>
      </w:r>
      <w:r>
        <w:t xml:space="preserve">all trades cleared through the same system.  This is particularly important in Europe because </w:t>
      </w:r>
      <w:r w:rsidRPr="00271905">
        <w:rPr>
          <w:color w:val="000000"/>
        </w:rPr>
        <w:t>according to a European Commission document</w:t>
      </w:r>
      <w:r w:rsidR="00F200E6">
        <w:rPr>
          <w:color w:val="000000"/>
        </w:rPr>
        <w:t>,</w:t>
      </w:r>
      <w:r w:rsidR="00F200E6">
        <w:rPr>
          <w:rStyle w:val="FootnoteReference"/>
          <w:color w:val="000000"/>
        </w:rPr>
        <w:footnoteReference w:id="2"/>
      </w:r>
      <w:r>
        <w:rPr>
          <w:color w:val="000000"/>
        </w:rPr>
        <w:t xml:space="preserve"> </w:t>
      </w:r>
      <w:r w:rsidRPr="00271905">
        <w:rPr>
          <w:color w:val="000000"/>
        </w:rPr>
        <w:t xml:space="preserve">cross-border trading commissions </w:t>
      </w:r>
      <w:r w:rsidR="00F200E6">
        <w:rPr>
          <w:color w:val="000000"/>
        </w:rPr>
        <w:t xml:space="preserve">could be as much as six times more than commissions for domestic securities.  </w:t>
      </w:r>
    </w:p>
    <w:p w:rsidR="00513109" w:rsidRDefault="00513109" w:rsidP="00175265">
      <w:pPr>
        <w:spacing w:line="480" w:lineRule="auto"/>
        <w:jc w:val="both"/>
      </w:pPr>
      <w:r>
        <w:tab/>
        <w:t>If the integration of the trading platform was successful, we should observe increased liquidity for the Euronext firms after the merger.</w:t>
      </w:r>
      <w:r w:rsidR="00D31742">
        <w:rPr>
          <w:rStyle w:val="FootnoteReference"/>
        </w:rPr>
        <w:footnoteReference w:id="3"/>
      </w:r>
      <w:r>
        <w:t xml:space="preserve">  On the other hand, if investors </w:t>
      </w:r>
      <w:r w:rsidR="00F200E6">
        <w:t>were</w:t>
      </w:r>
      <w:r>
        <w:t xml:space="preserve"> hesitant to buy securities of non-domestic firms due to differences in the presentation and transparency of financial information or the enforcement of securities regulations, integrating the trading platform w</w:t>
      </w:r>
      <w:r w:rsidR="00BF739D">
        <w:t>ould</w:t>
      </w:r>
      <w:r>
        <w:t xml:space="preserve"> make little difference.  To encourage liquidity, Euronext created two named segments</w:t>
      </w:r>
      <w:r w:rsidR="00F200E6">
        <w:t xml:space="preserve"> on which</w:t>
      </w:r>
      <w:r>
        <w:t xml:space="preserve"> firms could choose to </w:t>
      </w:r>
      <w:r w:rsidR="00691C47">
        <w:t xml:space="preserve">list by signing "Commitment Agreements" which obligated them to provide </w:t>
      </w:r>
      <w:r>
        <w:t>enhanced financial reporting quality and transparency</w:t>
      </w:r>
      <w:r w:rsidR="00691C47">
        <w:t>.  I</w:t>
      </w:r>
      <w:r>
        <w:t>n return</w:t>
      </w:r>
      <w:r w:rsidR="00691C47">
        <w:t>,</w:t>
      </w:r>
      <w:r>
        <w:t xml:space="preserve"> the exchange committed to promote the segment firms so as to raise their visibili</w:t>
      </w:r>
      <w:r w:rsidR="00691C47">
        <w:t>ty among analysts and investors by including them in the segment indices and special events and publications.</w:t>
      </w:r>
    </w:p>
    <w:p w:rsidR="00A03000" w:rsidRPr="00223C53" w:rsidRDefault="00513109" w:rsidP="00175265">
      <w:pPr>
        <w:spacing w:line="480" w:lineRule="auto"/>
        <w:jc w:val="both"/>
        <w:rPr>
          <w:color w:val="000000"/>
        </w:rPr>
      </w:pPr>
      <w:r>
        <w:tab/>
      </w:r>
      <w:r w:rsidR="00D63924" w:rsidRPr="00223C53">
        <w:rPr>
          <w:color w:val="000000"/>
        </w:rPr>
        <w:t xml:space="preserve">The two segments of Euronext were named NextEconomy (for companies whose core business was in the technology sectors – IT, telecoms, electronics, broadcasting and internet media, e-business, </w:t>
      </w:r>
      <w:r w:rsidR="00D63924" w:rsidRPr="00223C53">
        <w:rPr>
          <w:color w:val="000000"/>
        </w:rPr>
        <w:lastRenderedPageBreak/>
        <w:t>biotechnology, and medical equipment) and NextPrime (for companies from the traditional sectors of the economy).</w:t>
      </w:r>
      <w:r w:rsidR="00D63924" w:rsidRPr="00223C53">
        <w:rPr>
          <w:rStyle w:val="FootnoteReference"/>
          <w:color w:val="000000"/>
        </w:rPr>
        <w:footnoteReference w:id="4"/>
      </w:r>
      <w:r w:rsidR="00D63924" w:rsidRPr="00223C53">
        <w:rPr>
          <w:color w:val="000000"/>
        </w:rPr>
        <w:t xml:space="preserve">  Firms could choose to list on these named segments by committing to the use of (a) quarterly reporting; (b) financial reports prepared in accordance with IFRS; (c) English language in financial reports and news releases; (d) fully functioning websites; and (e) enhanced corporate governance practices. </w:t>
      </w:r>
      <w:r w:rsidR="002C50BA" w:rsidRPr="00223C53">
        <w:rPr>
          <w:color w:val="000000"/>
        </w:rPr>
        <w:t>Firms that chose to join the named segments (s</w:t>
      </w:r>
      <w:r w:rsidR="00D63924" w:rsidRPr="00223C53">
        <w:rPr>
          <w:color w:val="000000"/>
        </w:rPr>
        <w:t>egment firms</w:t>
      </w:r>
      <w:r w:rsidR="002C50BA" w:rsidRPr="00223C53">
        <w:rPr>
          <w:color w:val="000000"/>
        </w:rPr>
        <w:t>)</w:t>
      </w:r>
      <w:r w:rsidR="00D60072" w:rsidRPr="00223C53">
        <w:rPr>
          <w:color w:val="000000"/>
        </w:rPr>
        <w:t xml:space="preserve"> voluntarily signed agreements to abide by </w:t>
      </w:r>
      <w:r w:rsidR="00D63924" w:rsidRPr="00223C53">
        <w:rPr>
          <w:color w:val="000000"/>
        </w:rPr>
        <w:t xml:space="preserve">the </w:t>
      </w:r>
      <w:r w:rsidR="00D60072" w:rsidRPr="00223C53">
        <w:rPr>
          <w:color w:val="000000"/>
        </w:rPr>
        <w:t>high</w:t>
      </w:r>
      <w:r w:rsidR="00D63924" w:rsidRPr="00223C53">
        <w:rPr>
          <w:color w:val="000000"/>
        </w:rPr>
        <w:t>er</w:t>
      </w:r>
      <w:r w:rsidR="00D60072" w:rsidRPr="00223C53">
        <w:rPr>
          <w:color w:val="000000"/>
        </w:rPr>
        <w:t xml:space="preserve"> standards of disclosure and corporate governance, and subjected themselves to the authority of the Euronext exchange to monitor their compliance with those standards.  The firms granted Euronext the ability to delist from the segments firms that did not comply with the standards, and Euronext allocated resources from its profits to monitor compliance.  </w:t>
      </w:r>
      <w:r w:rsidR="00EC6653" w:rsidRPr="00223C53">
        <w:rPr>
          <w:color w:val="000000"/>
        </w:rPr>
        <w:t xml:space="preserve">The benefit of this arrangement to the firms </w:t>
      </w:r>
      <w:r w:rsidR="00C71D66" w:rsidRPr="00223C53">
        <w:rPr>
          <w:color w:val="000000"/>
        </w:rPr>
        <w:t>was</w:t>
      </w:r>
      <w:r w:rsidR="00EC6653" w:rsidRPr="00223C53">
        <w:rPr>
          <w:color w:val="000000"/>
        </w:rPr>
        <w:t xml:space="preserve"> a way to credibly "bond" to the higher standards of accounting and disclosure</w:t>
      </w:r>
      <w:r w:rsidR="00794D72">
        <w:rPr>
          <w:rStyle w:val="FootnoteReference"/>
          <w:color w:val="000000"/>
        </w:rPr>
        <w:footnoteReference w:id="5"/>
      </w:r>
      <w:r w:rsidR="00EC6653" w:rsidRPr="00223C53">
        <w:rPr>
          <w:color w:val="000000"/>
        </w:rPr>
        <w:t xml:space="preserve">, and the benefit to the exchange </w:t>
      </w:r>
      <w:r w:rsidR="00C71D66" w:rsidRPr="00223C53">
        <w:rPr>
          <w:color w:val="000000"/>
        </w:rPr>
        <w:t xml:space="preserve">was deeper pools of liquidity if investors believed the segment firms' commitments.  </w:t>
      </w:r>
    </w:p>
    <w:p w:rsidR="00242F7E" w:rsidRDefault="00A83BD9" w:rsidP="00175265">
      <w:pPr>
        <w:spacing w:line="480" w:lineRule="auto"/>
        <w:ind w:firstLine="432"/>
        <w:jc w:val="both"/>
      </w:pPr>
      <w:r w:rsidRPr="00223C53">
        <w:t>T</w:t>
      </w:r>
      <w:r w:rsidR="002C00E3" w:rsidRPr="00223C53">
        <w:t>he merger</w:t>
      </w:r>
      <w:r w:rsidR="00D63924" w:rsidRPr="00223C53">
        <w:t xml:space="preserve"> of</w:t>
      </w:r>
      <w:r w:rsidR="00755763" w:rsidRPr="00223C53">
        <w:t xml:space="preserve"> exchanges regulated by different national securities regulators</w:t>
      </w:r>
      <w:r w:rsidR="00246FF5" w:rsidRPr="00223C53">
        <w:t xml:space="preserve"> </w:t>
      </w:r>
      <w:r w:rsidR="00755763" w:rsidRPr="00223C53">
        <w:t xml:space="preserve">may not create integrated capital markets </w:t>
      </w:r>
      <w:r w:rsidRPr="00223C53">
        <w:t xml:space="preserve">and deeper pools of liquidity </w:t>
      </w:r>
      <w:r w:rsidR="00755763" w:rsidRPr="00223C53">
        <w:t xml:space="preserve">if national monitoring and enforcement </w:t>
      </w:r>
      <w:r w:rsidR="00482173" w:rsidRPr="00223C53">
        <w:t xml:space="preserve">of securities regulation </w:t>
      </w:r>
      <w:r w:rsidR="00755763" w:rsidRPr="00223C53">
        <w:t>is dissimilar (</w:t>
      </w:r>
      <w:proofErr w:type="spellStart"/>
      <w:r w:rsidR="00755763" w:rsidRPr="00223C53">
        <w:t>Grundfest</w:t>
      </w:r>
      <w:proofErr w:type="spellEnd"/>
      <w:r w:rsidR="00755763" w:rsidRPr="00223C53">
        <w:t xml:space="preserve"> 1990). </w:t>
      </w:r>
      <w:r w:rsidRPr="00223C53">
        <w:t xml:space="preserve"> </w:t>
      </w:r>
      <w:proofErr w:type="spellStart"/>
      <w:r w:rsidR="00482173" w:rsidRPr="00223C53">
        <w:t>Leuz</w:t>
      </w:r>
      <w:proofErr w:type="spellEnd"/>
      <w:r w:rsidR="00482173" w:rsidRPr="00223C53">
        <w:t xml:space="preserve"> (2010) discusses this problem, and presents evidence of substantial differences across jurisdictions in capital market development, securities regulation, </w:t>
      </w:r>
      <w:r w:rsidR="008E082A" w:rsidRPr="00223C53">
        <w:t xml:space="preserve">investor protection, </w:t>
      </w:r>
      <w:r w:rsidR="00482173" w:rsidRPr="00223C53">
        <w:t xml:space="preserve">corporate governance, and adherence to the rule of law, among other characteristics. </w:t>
      </w:r>
      <w:r w:rsidR="001C4D4E" w:rsidRPr="00223C53">
        <w:t>These differences endow national securities regulators with differing incentives and abilities to monitor and enforce compliance with securities regulation</w:t>
      </w:r>
      <w:r w:rsidRPr="00223C53">
        <w:t xml:space="preserve">, which make </w:t>
      </w:r>
      <w:r w:rsidR="001C4D4E" w:rsidRPr="00223C53">
        <w:t>de facto securities regulations different in different jurisdictions even if countries have uniform de jure rules</w:t>
      </w:r>
      <w:r w:rsidRPr="00223C53">
        <w:t xml:space="preserve">.  If investors perceive firms from foreign countries as being less or differently regulated than firms from their </w:t>
      </w:r>
      <w:r w:rsidRPr="00223C53">
        <w:lastRenderedPageBreak/>
        <w:t xml:space="preserve">domestic capital market, granting investors access to low-cost opportunities to trade foreign equities may not overcome their reluctance and therefore may not have much impact on liquidity.  To overcome the unevenness in national monitoring and enforcement, </w:t>
      </w:r>
      <w:proofErr w:type="spellStart"/>
      <w:r w:rsidR="001C4D4E" w:rsidRPr="00223C53">
        <w:t>Leuz</w:t>
      </w:r>
      <w:proofErr w:type="spellEnd"/>
      <w:r w:rsidR="001C4D4E" w:rsidRPr="00223C53">
        <w:t xml:space="preserve"> (2010)</w:t>
      </w:r>
      <w:r w:rsidR="008E082A" w:rsidRPr="00223C53">
        <w:t xml:space="preserve"> proposes </w:t>
      </w:r>
      <w:r w:rsidR="001526F2" w:rsidRPr="00223C53">
        <w:t xml:space="preserve">the </w:t>
      </w:r>
      <w:r w:rsidR="008E082A" w:rsidRPr="00223C53">
        <w:t xml:space="preserve">formation of a "Global Player Segment" </w:t>
      </w:r>
      <w:r w:rsidR="002625E9" w:rsidRPr="00223C53">
        <w:t xml:space="preserve">(GPS) </w:t>
      </w:r>
      <w:r w:rsidR="001526F2" w:rsidRPr="00223C53">
        <w:t xml:space="preserve">of the </w:t>
      </w:r>
      <w:r w:rsidR="001C4D4E" w:rsidRPr="00223C53">
        <w:t xml:space="preserve">transnational </w:t>
      </w:r>
      <w:r w:rsidR="002625E9" w:rsidRPr="00223C53">
        <w:t>capital market</w:t>
      </w:r>
      <w:r w:rsidR="001526F2" w:rsidRPr="00223C53">
        <w:t>, on</w:t>
      </w:r>
      <w:r w:rsidR="008E082A" w:rsidRPr="00223C53">
        <w:t xml:space="preserve"> which firms could be </w:t>
      </w:r>
      <w:r w:rsidR="001526F2" w:rsidRPr="00223C53">
        <w:t>listed</w:t>
      </w:r>
      <w:r w:rsidR="008E082A" w:rsidRPr="00223C53">
        <w:t xml:space="preserve"> by voluntarily commi</w:t>
      </w:r>
      <w:r w:rsidR="001526F2" w:rsidRPr="00223C53">
        <w:t>t</w:t>
      </w:r>
      <w:r w:rsidR="008E082A" w:rsidRPr="00223C53">
        <w:t xml:space="preserve">ting to uniform standards of transparency, auditing, and corporate governance. </w:t>
      </w:r>
      <w:r w:rsidR="00242F7E" w:rsidRPr="00223C53">
        <w:t xml:space="preserve">Self-selection and the pre-commitment to enhanced financial reporting and disclosure quality would homogenize GPS firms' reporting incentives, which research has demonstrated have more influence on firms' financial reporting practices than do accounting standards (Ball, Robin, and Wu 2003, Bradshaw and Miller 2008, Barth, Landsman, and Lang 2007, and </w:t>
      </w:r>
      <w:proofErr w:type="spellStart"/>
      <w:r w:rsidR="00242F7E" w:rsidRPr="00223C53">
        <w:t>Daske</w:t>
      </w:r>
      <w:proofErr w:type="spellEnd"/>
      <w:r w:rsidR="00242F7E" w:rsidRPr="00223C53">
        <w:t xml:space="preserve">, Hail, </w:t>
      </w:r>
      <w:proofErr w:type="spellStart"/>
      <w:r w:rsidR="00242F7E" w:rsidRPr="00223C53">
        <w:t>Leuz</w:t>
      </w:r>
      <w:proofErr w:type="spellEnd"/>
      <w:r w:rsidR="00242F7E" w:rsidRPr="00223C53">
        <w:t xml:space="preserve">, and Verdi </w:t>
      </w:r>
      <w:r w:rsidR="00AB27B6" w:rsidRPr="00223C53">
        <w:t>201</w:t>
      </w:r>
      <w:r w:rsidR="00AB27B6">
        <w:t>3</w:t>
      </w:r>
      <w:r w:rsidR="00242F7E" w:rsidRPr="00223C53">
        <w:t xml:space="preserve">, among others).  </w:t>
      </w:r>
      <w:proofErr w:type="spellStart"/>
      <w:r w:rsidRPr="00223C53">
        <w:t>Leuz</w:t>
      </w:r>
      <w:proofErr w:type="spellEnd"/>
      <w:r w:rsidRPr="00223C53">
        <w:t xml:space="preserve"> (2010) envisions firms paying fees to a market regulator to monitor their compliance with their voluntary pre-</w:t>
      </w:r>
      <w:r w:rsidR="00242F7E" w:rsidRPr="00223C53">
        <w:t xml:space="preserve">commitments to </w:t>
      </w:r>
      <w:r w:rsidR="005D2175">
        <w:t xml:space="preserve">increase </w:t>
      </w:r>
      <w:r w:rsidR="00242F7E" w:rsidRPr="00223C53">
        <w:t>investor</w:t>
      </w:r>
      <w:r w:rsidRPr="00223C53">
        <w:t xml:space="preserve"> confidence and therefore liquidity in the GPS firms' equities.  In the case of the Euronext segments, </w:t>
      </w:r>
      <w:r w:rsidR="00242F7E" w:rsidRPr="00223C53">
        <w:t xml:space="preserve">the exchange took on the role of monitoring and enforcement in return for increased profits from capturing liquidity. To the extent that investors believed in the exchanges' incentive and ability to enforce transparency, segment firms should have gained more liquidity than non-segment firms. </w:t>
      </w:r>
    </w:p>
    <w:p w:rsidR="00C9721E" w:rsidRDefault="00C9721E" w:rsidP="00175265">
      <w:pPr>
        <w:spacing w:line="480" w:lineRule="auto"/>
        <w:ind w:firstLine="432"/>
        <w:jc w:val="both"/>
      </w:pPr>
      <w:r>
        <w:t xml:space="preserve">We first test whether the integration of the trading platform </w:t>
      </w:r>
      <w:r w:rsidR="00E8717A">
        <w:t xml:space="preserve">led </w:t>
      </w:r>
      <w:r>
        <w:t>to increased liquidity for Euronext-listed firms, and find that Euronext-listed firms suffered the same decrease in liquidity experienced by the preponderance of Western European firms during the time period.</w:t>
      </w:r>
      <w:r>
        <w:rPr>
          <w:rStyle w:val="FootnoteReference"/>
        </w:rPr>
        <w:footnoteReference w:id="6"/>
      </w:r>
      <w:r>
        <w:t xml:space="preserve"> However, when we separate segment firms from non-segment firms, we find that the liquidity of segment firms increased at the time of the merger.  We conclude that it was the availability of the named segments that was associated with increased liquidity.  </w:t>
      </w:r>
    </w:p>
    <w:p w:rsidR="00A60120" w:rsidRDefault="00C9721E" w:rsidP="00175265">
      <w:pPr>
        <w:spacing w:line="480" w:lineRule="auto"/>
        <w:jc w:val="both"/>
      </w:pPr>
      <w:r>
        <w:tab/>
        <w:t xml:space="preserve">We also test whether the increases in liquidity experienced by the segment firms were driven solely by their inclusion in the segment indices and the exchange's efforts to increase the visibility of the </w:t>
      </w:r>
      <w:r>
        <w:lastRenderedPageBreak/>
        <w:t>segment firms, or were also associated with firms' pre-commitments to increase financial reporting quality and transparency.</w:t>
      </w:r>
      <w:r w:rsidR="00E8717A">
        <w:rPr>
          <w:rStyle w:val="FootnoteReference"/>
        </w:rPr>
        <w:footnoteReference w:id="7"/>
      </w:r>
      <w:r>
        <w:t xml:space="preserve"> We find that liquidity increased by more for the </w:t>
      </w:r>
      <w:r w:rsidR="005D2175">
        <w:t xml:space="preserve">segment </w:t>
      </w:r>
      <w:r>
        <w:t xml:space="preserve">firms that complied more fully with the provisions of the Commitment Agreements than for </w:t>
      </w:r>
      <w:r w:rsidR="005D2175">
        <w:t xml:space="preserve">those </w:t>
      </w:r>
      <w:r>
        <w:t xml:space="preserve">that complied less.  From this we conclude that it was not just choosing to become listed on the </w:t>
      </w:r>
      <w:proofErr w:type="gramStart"/>
      <w:r>
        <w:t>segments that was</w:t>
      </w:r>
      <w:proofErr w:type="gramEnd"/>
      <w:r>
        <w:t xml:space="preserve"> associated with the liquidity increases, but also complying with the financial reporting provisions of the listing agreements.  </w:t>
      </w:r>
    </w:p>
    <w:p w:rsidR="00C9721E" w:rsidRDefault="00C9721E" w:rsidP="00A60120">
      <w:pPr>
        <w:spacing w:line="480" w:lineRule="auto"/>
        <w:ind w:firstLine="432"/>
        <w:jc w:val="both"/>
        <w:rPr>
          <w:color w:val="000000"/>
        </w:rPr>
      </w:pPr>
      <w:r>
        <w:t>In</w:t>
      </w:r>
      <w:r w:rsidR="00A60120">
        <w:t xml:space="preserve"> further analyses</w:t>
      </w:r>
      <w:r>
        <w:t xml:space="preserve">, we investigate changes in three common proxies </w:t>
      </w:r>
      <w:r w:rsidR="00A60120">
        <w:t xml:space="preserve">of </w:t>
      </w:r>
      <w:r>
        <w:t xml:space="preserve">accounting quality for the segment firms relative to the non-segment firms, and for the </w:t>
      </w:r>
      <w:r w:rsidR="00A60120">
        <w:t xml:space="preserve">segment </w:t>
      </w:r>
      <w:r>
        <w:t>firms that complied more fully with their Commitment Agreements</w:t>
      </w:r>
      <w:r w:rsidR="00A60120">
        <w:t xml:space="preserve"> relative to the non-segment firms</w:t>
      </w:r>
      <w:r>
        <w:t xml:space="preserve">.  </w:t>
      </w:r>
      <w:r w:rsidR="00956DFD">
        <w:t>Using the non-segment firms as a benchmark, w</w:t>
      </w:r>
      <w:r>
        <w:t xml:space="preserve">e find evidence of a significant increase in timely loss recognition, a significant decrease in </w:t>
      </w:r>
      <w:r w:rsidR="00D31742">
        <w:t>income smoothing</w:t>
      </w:r>
      <w:r>
        <w:t>, and a significant reduction in the negative correlation between accruals and cash</w:t>
      </w:r>
      <w:r w:rsidR="00D31742">
        <w:t xml:space="preserve"> </w:t>
      </w:r>
      <w:r>
        <w:t>flows for the segment firms</w:t>
      </w:r>
      <w:r w:rsidR="00956DFD">
        <w:t>, in particular for the segment firms that complied more fully with their pre-commitments</w:t>
      </w:r>
      <w:r>
        <w:t xml:space="preserve">.  </w:t>
      </w:r>
      <w:r w:rsidR="00956DFD">
        <w:t>T</w:t>
      </w:r>
      <w:r>
        <w:t>he difference-in-d</w:t>
      </w:r>
      <w:r w:rsidR="00794D72">
        <w:t xml:space="preserve">ifferences between the segment </w:t>
      </w:r>
      <w:r>
        <w:t xml:space="preserve">and non-segment firms, as well as between the </w:t>
      </w:r>
      <w:r w:rsidR="00535FFB">
        <w:t>high-compliance</w:t>
      </w:r>
      <w:r>
        <w:t xml:space="preserve"> segment firms and the non-segment firms, are statistically significant.  </w:t>
      </w:r>
    </w:p>
    <w:p w:rsidR="0045550D" w:rsidRDefault="0045550D" w:rsidP="00175265">
      <w:pPr>
        <w:spacing w:line="480" w:lineRule="auto"/>
        <w:ind w:firstLine="432"/>
        <w:jc w:val="both"/>
      </w:pPr>
      <w:r w:rsidRPr="00223C53">
        <w:rPr>
          <w:color w:val="000000"/>
        </w:rPr>
        <w:t>Taken together, these results suggest that the integration of trading platforms associated with cross-border stock exchange mergers may have positive effects on firms' liquidity by making listed firms available to a broader investor clientele and generating higher concentration of trading.  However, in the absence of a single national regulator with both incentives and ability to monitor compliance with securities regulation, the increases in liquidity occur only in the presence of a credible mechanism to signal enhanced financial reporting and disclosure. By segmenting their listing categories, global stock exchanges can offer listed firms a credible way to bond to enhanced financial reporting quality, thus gaining more liquidity.</w:t>
      </w:r>
      <w:r>
        <w:rPr>
          <w:color w:val="000000"/>
        </w:rPr>
        <w:t xml:space="preserve">     </w:t>
      </w:r>
    </w:p>
    <w:p w:rsidR="00EA399E" w:rsidRPr="00223C53" w:rsidRDefault="00242F7E" w:rsidP="00175265">
      <w:pPr>
        <w:spacing w:line="480" w:lineRule="auto"/>
        <w:ind w:firstLine="432"/>
        <w:jc w:val="both"/>
      </w:pPr>
      <w:r w:rsidRPr="00223C53">
        <w:rPr>
          <w:color w:val="000000"/>
        </w:rPr>
        <w:lastRenderedPageBreak/>
        <w:t>The</w:t>
      </w:r>
      <w:r w:rsidR="006F2968" w:rsidRPr="00223C53">
        <w:rPr>
          <w:color w:val="000000"/>
        </w:rPr>
        <w:t xml:space="preserve"> </w:t>
      </w:r>
      <w:r w:rsidR="005170D3" w:rsidRPr="00223C53">
        <w:rPr>
          <w:color w:val="000000"/>
        </w:rPr>
        <w:t xml:space="preserve">empirical </w:t>
      </w:r>
      <w:r w:rsidR="006F2968" w:rsidRPr="00223C53">
        <w:rPr>
          <w:color w:val="000000"/>
        </w:rPr>
        <w:t xml:space="preserve">setting </w:t>
      </w:r>
      <w:r w:rsidR="005170D3" w:rsidRPr="00223C53">
        <w:rPr>
          <w:color w:val="000000"/>
        </w:rPr>
        <w:t xml:space="preserve">of Euronext </w:t>
      </w:r>
      <w:r w:rsidR="006F2968" w:rsidRPr="00223C53">
        <w:rPr>
          <w:color w:val="000000"/>
        </w:rPr>
        <w:t>is interesting for several reasons</w:t>
      </w:r>
      <w:r w:rsidR="00F31628" w:rsidRPr="00223C53">
        <w:rPr>
          <w:color w:val="000000"/>
        </w:rPr>
        <w:t xml:space="preserve">. </w:t>
      </w:r>
      <w:r w:rsidR="006F2968" w:rsidRPr="00223C53">
        <w:rPr>
          <w:color w:val="000000"/>
        </w:rPr>
        <w:t>First, the formation of Euronext came early in the ongoing wave of stock exchange consolidation</w:t>
      </w:r>
      <w:r w:rsidR="0050069D" w:rsidRPr="00223C53">
        <w:rPr>
          <w:color w:val="000000"/>
        </w:rPr>
        <w:t>s</w:t>
      </w:r>
      <w:r w:rsidR="006F2968" w:rsidRPr="00223C53">
        <w:rPr>
          <w:color w:val="000000"/>
        </w:rPr>
        <w:t xml:space="preserve"> and may offer lessons </w:t>
      </w:r>
      <w:r w:rsidRPr="00223C53">
        <w:rPr>
          <w:color w:val="000000"/>
        </w:rPr>
        <w:t xml:space="preserve">in structuring post-merger trading venues </w:t>
      </w:r>
      <w:r w:rsidR="006F2968" w:rsidRPr="00223C53">
        <w:rPr>
          <w:color w:val="000000"/>
        </w:rPr>
        <w:t>as the global consolidation of stock exchanges continues</w:t>
      </w:r>
      <w:r w:rsidR="00F31628" w:rsidRPr="00223C53">
        <w:rPr>
          <w:color w:val="000000"/>
        </w:rPr>
        <w:t xml:space="preserve">. </w:t>
      </w:r>
      <w:r w:rsidR="006F2968" w:rsidRPr="00223C53">
        <w:rPr>
          <w:color w:val="000000"/>
        </w:rPr>
        <w:t xml:space="preserve">Second, the merger gave the European Union its first </w:t>
      </w:r>
      <w:r w:rsidR="005170D3" w:rsidRPr="00223C53">
        <w:rPr>
          <w:color w:val="000000"/>
        </w:rPr>
        <w:t xml:space="preserve">integrated </w:t>
      </w:r>
      <w:r w:rsidR="006F2968" w:rsidRPr="00223C53">
        <w:rPr>
          <w:color w:val="000000"/>
        </w:rPr>
        <w:t xml:space="preserve">transnational stock market, making securities listed on any of the four predecessor exchanges readily available to </w:t>
      </w:r>
      <w:r w:rsidR="006F270F" w:rsidRPr="00223C53">
        <w:rPr>
          <w:color w:val="000000"/>
        </w:rPr>
        <w:t>the clients of members</w:t>
      </w:r>
      <w:r w:rsidR="00D639EF" w:rsidRPr="00223C53">
        <w:rPr>
          <w:color w:val="000000"/>
        </w:rPr>
        <w:t xml:space="preserve"> from all four exchanges</w:t>
      </w:r>
      <w:r w:rsidR="00F31628" w:rsidRPr="00223C53">
        <w:rPr>
          <w:color w:val="000000"/>
        </w:rPr>
        <w:t xml:space="preserve">. </w:t>
      </w:r>
      <w:r w:rsidRPr="00223C53">
        <w:rPr>
          <w:color w:val="000000"/>
        </w:rPr>
        <w:t>The goal of the integration of the trading platforms was to capture liquidity in listed firms' securities.  Euronext is the only naturally occurring experiment in the extent to which liquidity can be enhanced by cross-border trading access in the absence of uniform regulation and enfor</w:t>
      </w:r>
      <w:r w:rsidR="0045550D">
        <w:rPr>
          <w:color w:val="000000"/>
        </w:rPr>
        <w:t>c</w:t>
      </w:r>
      <w:r w:rsidRPr="00223C53">
        <w:rPr>
          <w:color w:val="000000"/>
        </w:rPr>
        <w:t xml:space="preserve">ement.  </w:t>
      </w:r>
    </w:p>
    <w:p w:rsidR="004C41B5" w:rsidRDefault="008E36C4" w:rsidP="00175265">
      <w:pPr>
        <w:spacing w:line="480" w:lineRule="auto"/>
        <w:ind w:firstLine="450"/>
        <w:jc w:val="both"/>
        <w:rPr>
          <w:color w:val="000000"/>
        </w:rPr>
      </w:pPr>
      <w:r w:rsidRPr="00223C53">
        <w:rPr>
          <w:color w:val="000000"/>
        </w:rPr>
        <w:t>Finally</w:t>
      </w:r>
      <w:r w:rsidR="00C66AD6" w:rsidRPr="00223C53">
        <w:rPr>
          <w:color w:val="000000"/>
        </w:rPr>
        <w:t xml:space="preserve">, </w:t>
      </w:r>
      <w:r w:rsidR="00242F7E" w:rsidRPr="00223C53">
        <w:rPr>
          <w:color w:val="000000"/>
        </w:rPr>
        <w:t xml:space="preserve">the Euronext setting can provide evidence on alternative mechanisms for firms to bond </w:t>
      </w:r>
      <w:r w:rsidR="0045550D">
        <w:rPr>
          <w:color w:val="000000"/>
        </w:rPr>
        <w:t xml:space="preserve">to </w:t>
      </w:r>
      <w:r w:rsidR="00242F7E" w:rsidRPr="00223C53">
        <w:rPr>
          <w:color w:val="000000"/>
        </w:rPr>
        <w:t>enhanced shareholder protection by subjecting themselves to more rigorous enforcement of stringent securities regulation. T</w:t>
      </w:r>
      <w:r w:rsidR="006155B5" w:rsidRPr="00223C53">
        <w:rPr>
          <w:color w:val="000000"/>
        </w:rPr>
        <w:t>he</w:t>
      </w:r>
      <w:r w:rsidR="00FB2C2C" w:rsidRPr="00223C53">
        <w:rPr>
          <w:color w:val="000000"/>
        </w:rPr>
        <w:t xml:space="preserve"> </w:t>
      </w:r>
      <w:r w:rsidR="007A5702" w:rsidRPr="00223C53">
        <w:rPr>
          <w:color w:val="000000"/>
        </w:rPr>
        <w:t xml:space="preserve">formation of Euronext </w:t>
      </w:r>
      <w:r w:rsidR="00FB2C2C" w:rsidRPr="00223C53">
        <w:rPr>
          <w:color w:val="000000"/>
        </w:rPr>
        <w:t xml:space="preserve">did not create the need for firms to bond to </w:t>
      </w:r>
      <w:r w:rsidR="00795196">
        <w:rPr>
          <w:color w:val="000000"/>
        </w:rPr>
        <w:t xml:space="preserve">higher standards of </w:t>
      </w:r>
      <w:r w:rsidR="00FB2C2C" w:rsidRPr="00223C53">
        <w:rPr>
          <w:color w:val="000000"/>
        </w:rPr>
        <w:t xml:space="preserve">transparency and disclosure, but it changed the costs and benefits associated with various mechanisms for bonding.  </w:t>
      </w:r>
      <w:r w:rsidR="005F1782" w:rsidRPr="00223C53">
        <w:rPr>
          <w:color w:val="000000"/>
        </w:rPr>
        <w:t>Prior to the</w:t>
      </w:r>
      <w:r w:rsidR="007A5702" w:rsidRPr="00223C53">
        <w:rPr>
          <w:color w:val="000000"/>
        </w:rPr>
        <w:t xml:space="preserve"> formation of Euronext</w:t>
      </w:r>
      <w:r w:rsidR="005F1782" w:rsidRPr="00223C53">
        <w:rPr>
          <w:color w:val="000000"/>
        </w:rPr>
        <w:t xml:space="preserve">, firms had other means to distinguish themselves by making commitments to transparency and disclosure, such as cross-listing their securities on other European exchanges (McLeay, </w:t>
      </w:r>
      <w:proofErr w:type="spellStart"/>
      <w:r w:rsidR="005F1782" w:rsidRPr="00223C53">
        <w:rPr>
          <w:color w:val="000000"/>
        </w:rPr>
        <w:t>Asimakopoulos</w:t>
      </w:r>
      <w:proofErr w:type="spellEnd"/>
      <w:r w:rsidR="005F1782" w:rsidRPr="00223C53">
        <w:rPr>
          <w:color w:val="000000"/>
        </w:rPr>
        <w:t xml:space="preserve">, and </w:t>
      </w:r>
      <w:proofErr w:type="spellStart"/>
      <w:r w:rsidR="005F1782" w:rsidRPr="00223C53">
        <w:rPr>
          <w:color w:val="000000"/>
        </w:rPr>
        <w:t>Raonic</w:t>
      </w:r>
      <w:proofErr w:type="spellEnd"/>
      <w:r w:rsidR="005F1782" w:rsidRPr="00223C53">
        <w:rPr>
          <w:color w:val="000000"/>
        </w:rPr>
        <w:t xml:space="preserve"> 2004) or cross-listing </w:t>
      </w:r>
      <w:r w:rsidR="00833A68" w:rsidRPr="00223C53">
        <w:rPr>
          <w:color w:val="000000"/>
        </w:rPr>
        <w:t>in the U.S.</w:t>
      </w:r>
      <w:r w:rsidR="003F78E9" w:rsidRPr="00223C53">
        <w:rPr>
          <w:color w:val="000000"/>
        </w:rPr>
        <w:t xml:space="preserve"> </w:t>
      </w:r>
      <w:r w:rsidR="00833A68" w:rsidRPr="00223C53">
        <w:rPr>
          <w:color w:val="000000"/>
        </w:rPr>
        <w:t xml:space="preserve">(Lang, </w:t>
      </w:r>
      <w:proofErr w:type="spellStart"/>
      <w:r w:rsidR="00833A68" w:rsidRPr="00223C53">
        <w:rPr>
          <w:color w:val="000000"/>
        </w:rPr>
        <w:t>Raedy</w:t>
      </w:r>
      <w:proofErr w:type="spellEnd"/>
      <w:r w:rsidR="00833A68" w:rsidRPr="00223C53">
        <w:rPr>
          <w:color w:val="000000"/>
        </w:rPr>
        <w:t>, and Wilson 2005).</w:t>
      </w:r>
      <w:r w:rsidR="009E2988">
        <w:rPr>
          <w:rStyle w:val="FootnoteReference"/>
          <w:color w:val="000000"/>
        </w:rPr>
        <w:footnoteReference w:id="8"/>
      </w:r>
      <w:r w:rsidR="00833A68" w:rsidRPr="00223C53">
        <w:rPr>
          <w:color w:val="000000"/>
        </w:rPr>
        <w:t xml:space="preserve">  The </w:t>
      </w:r>
      <w:r w:rsidR="00FB2C2C" w:rsidRPr="00223C53">
        <w:rPr>
          <w:color w:val="000000"/>
        </w:rPr>
        <w:t>formation of Euronext</w:t>
      </w:r>
      <w:r w:rsidR="00833A68" w:rsidRPr="00223C53">
        <w:rPr>
          <w:color w:val="000000"/>
        </w:rPr>
        <w:t xml:space="preserve"> changed the cost structure of cross-listing in Europe by eliminating three candidate exchanges for cross-listing, and the </w:t>
      </w:r>
      <w:r w:rsidR="00246FF5" w:rsidRPr="00223C53">
        <w:rPr>
          <w:color w:val="000000"/>
        </w:rPr>
        <w:t xml:space="preserve">establishment </w:t>
      </w:r>
      <w:r w:rsidR="00833A68" w:rsidRPr="00223C53">
        <w:rPr>
          <w:color w:val="000000"/>
        </w:rPr>
        <w:t xml:space="preserve">of the named segments offered a lower-cost alternative to cross-listing in the U.S.  Firms could also have </w:t>
      </w:r>
      <w:r w:rsidR="006155B5" w:rsidRPr="00223C53">
        <w:rPr>
          <w:color w:val="000000"/>
        </w:rPr>
        <w:t>committed</w:t>
      </w:r>
      <w:r w:rsidR="00833A68" w:rsidRPr="00223C53">
        <w:rPr>
          <w:color w:val="000000"/>
        </w:rPr>
        <w:t xml:space="preserve"> to the segment listing requirements withou</w:t>
      </w:r>
      <w:r w:rsidR="00FB2C2C" w:rsidRPr="00223C53">
        <w:rPr>
          <w:color w:val="000000"/>
        </w:rPr>
        <w:t xml:space="preserve">t the named segments, but signing the Commitment Agreement which was at least tentatively monitored and enforced by the </w:t>
      </w:r>
      <w:r w:rsidR="004C41B5">
        <w:rPr>
          <w:color w:val="000000"/>
        </w:rPr>
        <w:t xml:space="preserve">Euronext </w:t>
      </w:r>
      <w:r w:rsidR="00FB2C2C" w:rsidRPr="00223C53">
        <w:rPr>
          <w:color w:val="000000"/>
        </w:rPr>
        <w:t xml:space="preserve">exchange enhanced the credibility of their bonding.  </w:t>
      </w:r>
    </w:p>
    <w:p w:rsidR="00C57A8A" w:rsidRDefault="00C57A8A" w:rsidP="00175265">
      <w:pPr>
        <w:spacing w:line="480" w:lineRule="auto"/>
        <w:ind w:firstLine="450"/>
        <w:jc w:val="both"/>
        <w:rPr>
          <w:color w:val="000000"/>
        </w:rPr>
      </w:pPr>
      <w:r>
        <w:rPr>
          <w:color w:val="000000"/>
        </w:rPr>
        <w:lastRenderedPageBreak/>
        <w:t xml:space="preserve">In </w:t>
      </w:r>
      <w:r w:rsidR="00A70DCF">
        <w:rPr>
          <w:color w:val="000000"/>
        </w:rPr>
        <w:t xml:space="preserve">the next </w:t>
      </w:r>
      <w:r>
        <w:rPr>
          <w:color w:val="000000"/>
        </w:rPr>
        <w:t>section</w:t>
      </w:r>
      <w:r w:rsidR="001D3B8E">
        <w:rPr>
          <w:color w:val="000000"/>
        </w:rPr>
        <w:t>,</w:t>
      </w:r>
      <w:r>
        <w:rPr>
          <w:color w:val="000000"/>
        </w:rPr>
        <w:t xml:space="preserve"> we review </w:t>
      </w:r>
      <w:r w:rsidR="00E70294">
        <w:rPr>
          <w:color w:val="000000"/>
        </w:rPr>
        <w:t xml:space="preserve">the </w:t>
      </w:r>
      <w:r>
        <w:rPr>
          <w:color w:val="000000"/>
        </w:rPr>
        <w:t xml:space="preserve">history </w:t>
      </w:r>
      <w:r w:rsidR="00C92013">
        <w:rPr>
          <w:color w:val="000000"/>
        </w:rPr>
        <w:t xml:space="preserve">and </w:t>
      </w:r>
      <w:r w:rsidR="003F10BD">
        <w:rPr>
          <w:color w:val="000000"/>
        </w:rPr>
        <w:t>segmentation</w:t>
      </w:r>
      <w:r w:rsidR="00C92013">
        <w:rPr>
          <w:color w:val="000000"/>
        </w:rPr>
        <w:t xml:space="preserve"> </w:t>
      </w:r>
      <w:r>
        <w:rPr>
          <w:color w:val="000000"/>
        </w:rPr>
        <w:t>of the Euronext market</w:t>
      </w:r>
      <w:r w:rsidR="00F31628">
        <w:rPr>
          <w:color w:val="000000"/>
        </w:rPr>
        <w:t xml:space="preserve">. </w:t>
      </w:r>
      <w:r w:rsidR="00554CB4">
        <w:rPr>
          <w:color w:val="000000"/>
        </w:rPr>
        <w:t xml:space="preserve">Section 3 develops the hypotheses. </w:t>
      </w:r>
      <w:r w:rsidR="00A70DCF">
        <w:rPr>
          <w:color w:val="000000"/>
        </w:rPr>
        <w:t>S</w:t>
      </w:r>
      <w:r>
        <w:rPr>
          <w:color w:val="000000"/>
        </w:rPr>
        <w:t xml:space="preserve">ection </w:t>
      </w:r>
      <w:r w:rsidR="00554CB4">
        <w:rPr>
          <w:color w:val="000000"/>
        </w:rPr>
        <w:t xml:space="preserve">4 </w:t>
      </w:r>
      <w:r w:rsidR="00841543">
        <w:rPr>
          <w:color w:val="000000"/>
        </w:rPr>
        <w:t>describe</w:t>
      </w:r>
      <w:r w:rsidR="005368A4">
        <w:rPr>
          <w:color w:val="000000"/>
        </w:rPr>
        <w:t>s</w:t>
      </w:r>
      <w:r w:rsidR="00841543">
        <w:rPr>
          <w:color w:val="000000"/>
        </w:rPr>
        <w:t xml:space="preserve"> </w:t>
      </w:r>
      <w:r w:rsidR="005368A4">
        <w:rPr>
          <w:color w:val="000000"/>
        </w:rPr>
        <w:t>the</w:t>
      </w:r>
      <w:r w:rsidR="00C92013">
        <w:rPr>
          <w:color w:val="000000"/>
        </w:rPr>
        <w:t xml:space="preserve"> sample and </w:t>
      </w:r>
      <w:r w:rsidR="00841543">
        <w:rPr>
          <w:color w:val="000000"/>
        </w:rPr>
        <w:t xml:space="preserve">empirical design, and </w:t>
      </w:r>
      <w:r w:rsidR="00C92013">
        <w:rPr>
          <w:color w:val="000000"/>
        </w:rPr>
        <w:t xml:space="preserve">presents </w:t>
      </w:r>
      <w:r w:rsidR="00841543">
        <w:rPr>
          <w:color w:val="000000"/>
        </w:rPr>
        <w:t xml:space="preserve">results of the analyses of </w:t>
      </w:r>
      <w:r w:rsidR="00513109">
        <w:rPr>
          <w:color w:val="000000"/>
        </w:rPr>
        <w:t xml:space="preserve">liquidity and </w:t>
      </w:r>
      <w:r w:rsidR="009E5CE2">
        <w:rPr>
          <w:color w:val="000000"/>
        </w:rPr>
        <w:t>financial reporting quality</w:t>
      </w:r>
      <w:r w:rsidR="00F31628">
        <w:rPr>
          <w:color w:val="000000"/>
        </w:rPr>
        <w:t xml:space="preserve">. </w:t>
      </w:r>
      <w:r w:rsidR="002625E9">
        <w:rPr>
          <w:color w:val="000000"/>
        </w:rPr>
        <w:t xml:space="preserve">Section </w:t>
      </w:r>
      <w:r w:rsidR="00554CB4">
        <w:rPr>
          <w:color w:val="000000"/>
        </w:rPr>
        <w:t xml:space="preserve">5 </w:t>
      </w:r>
      <w:r w:rsidR="000812D2">
        <w:rPr>
          <w:color w:val="000000"/>
        </w:rPr>
        <w:t xml:space="preserve">presents results using a propensity score matched control sample as well as other sensitivity analyses.  </w:t>
      </w:r>
      <w:r w:rsidR="002625E9">
        <w:rPr>
          <w:color w:val="000000"/>
        </w:rPr>
        <w:t xml:space="preserve">Finally, section </w:t>
      </w:r>
      <w:r w:rsidR="00554CB4">
        <w:rPr>
          <w:color w:val="000000"/>
        </w:rPr>
        <w:t xml:space="preserve">6 </w:t>
      </w:r>
      <w:r>
        <w:rPr>
          <w:color w:val="000000"/>
        </w:rPr>
        <w:t xml:space="preserve">presents </w:t>
      </w:r>
      <w:r w:rsidR="00CF42FF">
        <w:rPr>
          <w:color w:val="000000"/>
        </w:rPr>
        <w:t>a summary of and</w:t>
      </w:r>
      <w:r>
        <w:rPr>
          <w:color w:val="000000"/>
        </w:rPr>
        <w:t xml:space="preserve"> conclusions </w:t>
      </w:r>
      <w:r w:rsidR="00CF42FF">
        <w:rPr>
          <w:color w:val="000000"/>
        </w:rPr>
        <w:t xml:space="preserve">from our </w:t>
      </w:r>
      <w:r>
        <w:rPr>
          <w:color w:val="000000"/>
        </w:rPr>
        <w:t>analyses</w:t>
      </w:r>
      <w:r w:rsidR="00F31628">
        <w:rPr>
          <w:color w:val="000000"/>
        </w:rPr>
        <w:t xml:space="preserve">. </w:t>
      </w:r>
    </w:p>
    <w:p w:rsidR="004D2F13" w:rsidRPr="00EA399E" w:rsidRDefault="004D2F13" w:rsidP="00670D05">
      <w:pPr>
        <w:spacing w:line="480" w:lineRule="auto"/>
        <w:ind w:firstLine="450"/>
      </w:pPr>
    </w:p>
    <w:p w:rsidR="009D790B" w:rsidRDefault="009D790B" w:rsidP="00670D05">
      <w:pPr>
        <w:tabs>
          <w:tab w:val="left" w:pos="360"/>
        </w:tabs>
        <w:autoSpaceDE w:val="0"/>
        <w:autoSpaceDN w:val="0"/>
        <w:adjustRightInd w:val="0"/>
        <w:spacing w:line="480" w:lineRule="auto"/>
        <w:outlineLvl w:val="0"/>
        <w:rPr>
          <w:b/>
        </w:rPr>
      </w:pPr>
      <w:r w:rsidRPr="003952CD">
        <w:rPr>
          <w:b/>
        </w:rPr>
        <w:t>2.</w:t>
      </w:r>
      <w:r>
        <w:rPr>
          <w:b/>
        </w:rPr>
        <w:t xml:space="preserve"> </w:t>
      </w:r>
      <w:r>
        <w:rPr>
          <w:b/>
        </w:rPr>
        <w:tab/>
      </w:r>
      <w:r w:rsidR="00807330">
        <w:rPr>
          <w:b/>
        </w:rPr>
        <w:t>Euronext</w:t>
      </w:r>
      <w:r w:rsidR="004C41B5">
        <w:rPr>
          <w:b/>
        </w:rPr>
        <w:t xml:space="preserve"> Background</w:t>
      </w:r>
    </w:p>
    <w:p w:rsidR="009D790B" w:rsidRDefault="009D790B" w:rsidP="00670D05">
      <w:pPr>
        <w:autoSpaceDE w:val="0"/>
        <w:autoSpaceDN w:val="0"/>
        <w:adjustRightInd w:val="0"/>
        <w:spacing w:line="480" w:lineRule="auto"/>
        <w:outlineLvl w:val="0"/>
        <w:rPr>
          <w:b/>
        </w:rPr>
      </w:pPr>
      <w:r>
        <w:rPr>
          <w:b/>
        </w:rPr>
        <w:t>2.1 Euronext History and Regulation</w:t>
      </w:r>
    </w:p>
    <w:p w:rsidR="00EA399E" w:rsidRDefault="009D790B" w:rsidP="00175265">
      <w:pPr>
        <w:autoSpaceDE w:val="0"/>
        <w:autoSpaceDN w:val="0"/>
        <w:adjustRightInd w:val="0"/>
        <w:spacing w:line="480" w:lineRule="auto"/>
        <w:ind w:firstLine="432"/>
        <w:jc w:val="both"/>
      </w:pPr>
      <w:r>
        <w:t xml:space="preserve">Euronext is the second largest European exchange </w:t>
      </w:r>
      <w:r w:rsidR="002E4A2D">
        <w:t>(now part of NYSE Euronext).  According to its website, it is a Dutch public company with limited liability,</w:t>
      </w:r>
      <w:r>
        <w:t xml:space="preserve"> with subsidiaries in Belgium, France, Netherlands, Portugal</w:t>
      </w:r>
      <w:r w:rsidR="00C82EB0">
        <w:t>,</w:t>
      </w:r>
      <w:r>
        <w:t xml:space="preserve"> and the United Kingdom.</w:t>
      </w:r>
      <w:r>
        <w:rPr>
          <w:rStyle w:val="FootnoteReference"/>
        </w:rPr>
        <w:footnoteReference w:id="9"/>
      </w:r>
      <w:r>
        <w:t xml:space="preserve"> Euronext was formed in September 2000 by the merger of the exchanges in Amsterdam, Brussels and Paris. During July 2001, Euronext completed its I</w:t>
      </w:r>
      <w:r w:rsidR="008A5585">
        <w:t xml:space="preserve">nitial </w:t>
      </w:r>
      <w:r>
        <w:t>P</w:t>
      </w:r>
      <w:r w:rsidR="008A5585">
        <w:t xml:space="preserve">ublic </w:t>
      </w:r>
      <w:r>
        <w:t>O</w:t>
      </w:r>
      <w:r w:rsidR="008A5585">
        <w:t>ffering</w:t>
      </w:r>
      <w:r>
        <w:t>, which resulted in listing Euronext’s shares on its own trading platform. In February 2002, Euronext merged with BVLP, the Portuguese stock market, and Euronext Lisbon was created.</w:t>
      </w:r>
    </w:p>
    <w:p w:rsidR="009D790B" w:rsidRDefault="009D790B" w:rsidP="00175265">
      <w:pPr>
        <w:autoSpaceDE w:val="0"/>
        <w:autoSpaceDN w:val="0"/>
        <w:adjustRightInd w:val="0"/>
        <w:spacing w:line="480" w:lineRule="auto"/>
        <w:ind w:firstLine="432"/>
        <w:jc w:val="both"/>
      </w:pPr>
      <w:r>
        <w:t xml:space="preserve">Euronext </w:t>
      </w:r>
      <w:r w:rsidR="00ED391B">
        <w:t>was</w:t>
      </w:r>
      <w:r>
        <w:t xml:space="preserve"> successful in the technological integration of the </w:t>
      </w:r>
      <w:r w:rsidR="002C00E3">
        <w:t xml:space="preserve">predecessor </w:t>
      </w:r>
      <w:r>
        <w:t>exchanges</w:t>
      </w:r>
      <w:r w:rsidR="002C00E3">
        <w:t>’ trading platforms</w:t>
      </w:r>
      <w:r>
        <w:t>. In September 2002, all Euronext members, regardless of their location, were able to access all securities listed on Euronext</w:t>
      </w:r>
      <w:r w:rsidR="00F31628">
        <w:t xml:space="preserve">. </w:t>
      </w:r>
      <w:r>
        <w:t xml:space="preserve">In November 2003, Euronext Lisbon successfully migrated to the new trading and clearing systems. As a result, all Euronext products listed in Amsterdam, Brussels, Paris, and Lisbon are traded through </w:t>
      </w:r>
      <w:r w:rsidR="00AD6B1A">
        <w:t xml:space="preserve">Nouveau System </w:t>
      </w:r>
      <w:proofErr w:type="spellStart"/>
      <w:r w:rsidR="00AD6B1A">
        <w:t>Cotation</w:t>
      </w:r>
      <w:proofErr w:type="spellEnd"/>
      <w:r w:rsidR="00AD6B1A">
        <w:t xml:space="preserve"> (</w:t>
      </w:r>
      <w:r>
        <w:t>NSC</w:t>
      </w:r>
      <w:r w:rsidR="00AD6B1A">
        <w:t>)</w:t>
      </w:r>
      <w:r>
        <w:t xml:space="preserve"> and cleared by Clearnet. </w:t>
      </w:r>
      <w:r w:rsidRPr="00216DFE">
        <w:t xml:space="preserve">The centralized, order-driven trading system, along with the central clearing system, settles transactions on a net basis to </w:t>
      </w:r>
      <w:r w:rsidRPr="00216DFE">
        <w:lastRenderedPageBreak/>
        <w:t>guarantee performance</w:t>
      </w:r>
      <w:r>
        <w:t xml:space="preserve"> (Poser 2001)</w:t>
      </w:r>
      <w:r w:rsidRPr="00216DFE">
        <w:t>. This creates the potential for greater cost-saving</w:t>
      </w:r>
      <w:r>
        <w:t xml:space="preserve"> because most of the costs of building trading and clearing platforms are fixed.</w:t>
      </w:r>
    </w:p>
    <w:p w:rsidR="009D790B" w:rsidRPr="00917BEB" w:rsidRDefault="009D790B" w:rsidP="00175265">
      <w:pPr>
        <w:autoSpaceDE w:val="0"/>
        <w:autoSpaceDN w:val="0"/>
        <w:adjustRightInd w:val="0"/>
        <w:spacing w:line="480" w:lineRule="auto"/>
        <w:ind w:firstLine="432"/>
        <w:jc w:val="both"/>
      </w:pPr>
      <w:r>
        <w:t>At the same time, Euronext worked actively with regulators in the individual jurisdictions to harmonize various rules and regulations. The Euronext Rulebook currently has two books: Rulebook I contains harmonized rules</w:t>
      </w:r>
      <w:r w:rsidRPr="00EE3973">
        <w:t xml:space="preserve"> </w:t>
      </w:r>
      <w:r>
        <w:t xml:space="preserve">that are </w:t>
      </w:r>
      <w:r w:rsidRPr="00216DFE">
        <w:t>contractual agreements among the market participants of Euronext</w:t>
      </w:r>
      <w:r>
        <w:t xml:space="preserve">, and Rulebook II contains the remaining rules of the individual markets that have not been harmonized. The coverage of Rulebook I </w:t>
      </w:r>
      <w:proofErr w:type="gramStart"/>
      <w:r>
        <w:t>has</w:t>
      </w:r>
      <w:proofErr w:type="gramEnd"/>
      <w:r>
        <w:t xml:space="preserve"> gradually increased from harmonized membership rules, trading rules, and enforcement rules in the early periods to the development of a common set of </w:t>
      </w:r>
      <w:r w:rsidRPr="00216DFE">
        <w:t>listing qualifications and disclosure requirements applicable to listed companies</w:t>
      </w:r>
      <w:r>
        <w:t xml:space="preserve"> in later periods (starting in February 2005). Today, if a company seeks to list its equities on a Euronext market, it must comply with the unified listing requirements as specified in Rulebook I, and after admission, it must comply with the ongoing financial reporting requirements as specified by the authority of the home member state.</w:t>
      </w:r>
      <w:r>
        <w:tab/>
      </w:r>
    </w:p>
    <w:p w:rsidR="006D0625" w:rsidRDefault="006D0625" w:rsidP="00670D05">
      <w:pPr>
        <w:outlineLvl w:val="0"/>
        <w:rPr>
          <w:b/>
        </w:rPr>
      </w:pPr>
    </w:p>
    <w:p w:rsidR="00457D50" w:rsidRPr="004E4491" w:rsidRDefault="00457D50" w:rsidP="00670D05">
      <w:pPr>
        <w:outlineLvl w:val="0"/>
        <w:rPr>
          <w:b/>
        </w:rPr>
      </w:pPr>
      <w:r w:rsidRPr="004E4491">
        <w:rPr>
          <w:b/>
        </w:rPr>
        <w:t>2.2 Creation of the Two Named Segments</w:t>
      </w:r>
    </w:p>
    <w:p w:rsidR="00457D50" w:rsidRDefault="00457D50" w:rsidP="00670D05"/>
    <w:p w:rsidR="00457D50" w:rsidRPr="00DD6F71" w:rsidRDefault="00457D50" w:rsidP="00175265">
      <w:pPr>
        <w:spacing w:line="480" w:lineRule="auto"/>
        <w:ind w:firstLine="432"/>
        <w:jc w:val="both"/>
        <w:rPr>
          <w:color w:val="000000"/>
        </w:rPr>
      </w:pPr>
      <w:r w:rsidRPr="00DD6F71">
        <w:rPr>
          <w:color w:val="000000"/>
        </w:rPr>
        <w:t xml:space="preserve">Euronext created two market segments – NextEconomy and NextPrime – launched in January 2002 for companies listed </w:t>
      </w:r>
      <w:r w:rsidR="00250358">
        <w:rPr>
          <w:color w:val="000000"/>
        </w:rPr>
        <w:t>in</w:t>
      </w:r>
      <w:r w:rsidR="00250358" w:rsidRPr="00DD6F71">
        <w:rPr>
          <w:color w:val="000000"/>
        </w:rPr>
        <w:t xml:space="preserve"> </w:t>
      </w:r>
      <w:r w:rsidRPr="00DD6F71">
        <w:rPr>
          <w:color w:val="000000"/>
        </w:rPr>
        <w:t xml:space="preserve">Amsterdam, </w:t>
      </w:r>
      <w:r w:rsidR="00C82EB0" w:rsidRPr="00DD6F71">
        <w:rPr>
          <w:color w:val="000000"/>
        </w:rPr>
        <w:t>Brussels</w:t>
      </w:r>
      <w:r w:rsidRPr="00DD6F71">
        <w:rPr>
          <w:color w:val="000000"/>
        </w:rPr>
        <w:t>, and</w:t>
      </w:r>
      <w:r w:rsidR="004832F9">
        <w:rPr>
          <w:color w:val="000000"/>
        </w:rPr>
        <w:t xml:space="preserve"> </w:t>
      </w:r>
      <w:r w:rsidR="00C82EB0">
        <w:rPr>
          <w:color w:val="000000"/>
        </w:rPr>
        <w:t>Paris</w:t>
      </w:r>
      <w:r w:rsidRPr="00DD6F71">
        <w:rPr>
          <w:color w:val="000000"/>
        </w:rPr>
        <w:t>, with Lisbon added in May 2003.</w:t>
      </w:r>
      <w:r w:rsidRPr="00C911B0">
        <w:rPr>
          <w:color w:val="000000"/>
          <w:vertAlign w:val="superscript"/>
        </w:rPr>
        <w:footnoteReference w:id="10"/>
      </w:r>
      <w:r w:rsidRPr="00C911B0">
        <w:rPr>
          <w:color w:val="000000"/>
          <w:vertAlign w:val="superscript"/>
        </w:rPr>
        <w:t xml:space="preserve"> </w:t>
      </w:r>
      <w:r w:rsidRPr="00DD6F71">
        <w:rPr>
          <w:color w:val="000000"/>
        </w:rPr>
        <w:t xml:space="preserve"> The creation of the named segments had two purposes:  (1) to meet the needs of investors seeking greater transparency and liquidity; and (2) to allow companies to increase their visibility to investors </w:t>
      </w:r>
      <w:r w:rsidR="00A77B71">
        <w:rPr>
          <w:color w:val="000000"/>
        </w:rPr>
        <w:t xml:space="preserve">and therefore liquidity </w:t>
      </w:r>
      <w:r w:rsidRPr="00DD6F71">
        <w:rPr>
          <w:color w:val="000000"/>
        </w:rPr>
        <w:t>by complying with a number of pre-commitments to enhanced</w:t>
      </w:r>
      <w:r w:rsidR="005D2175">
        <w:rPr>
          <w:color w:val="000000"/>
        </w:rPr>
        <w:t xml:space="preserve"> accounting quality</w:t>
      </w:r>
      <w:r w:rsidRPr="00DD6F71">
        <w:rPr>
          <w:color w:val="000000"/>
        </w:rPr>
        <w:t>, disclosure</w:t>
      </w:r>
      <w:r w:rsidR="00B43506">
        <w:rPr>
          <w:color w:val="000000"/>
        </w:rPr>
        <w:t>,</w:t>
      </w:r>
      <w:r w:rsidRPr="00DD6F71">
        <w:rPr>
          <w:color w:val="000000"/>
        </w:rPr>
        <w:t xml:space="preserve"> and</w:t>
      </w:r>
      <w:r w:rsidR="005D2175">
        <w:rPr>
          <w:color w:val="000000"/>
        </w:rPr>
        <w:t xml:space="preserve"> governance</w:t>
      </w:r>
      <w:r w:rsidRPr="00DD6F71">
        <w:rPr>
          <w:color w:val="000000"/>
        </w:rPr>
        <w:t>.</w:t>
      </w:r>
    </w:p>
    <w:p w:rsidR="009E5CE2" w:rsidRDefault="00457D50" w:rsidP="00175265">
      <w:pPr>
        <w:spacing w:line="480" w:lineRule="auto"/>
        <w:ind w:firstLine="432"/>
        <w:jc w:val="both"/>
      </w:pPr>
      <w:r w:rsidRPr="00DD6F71">
        <w:rPr>
          <w:color w:val="000000"/>
        </w:rPr>
        <w:t>NextEconomy and NextPrime were designed for small and mid</w:t>
      </w:r>
      <w:r w:rsidR="003C471D">
        <w:rPr>
          <w:color w:val="000000"/>
        </w:rPr>
        <w:t>-</w:t>
      </w:r>
      <w:r w:rsidRPr="00DD6F71">
        <w:rPr>
          <w:color w:val="000000"/>
        </w:rPr>
        <w:t xml:space="preserve">cap firms.  They did not replace any existing regulated market but were in addition to being listed on one of the four national Euronext </w:t>
      </w:r>
      <w:r w:rsidRPr="00DD6F71">
        <w:rPr>
          <w:color w:val="000000"/>
        </w:rPr>
        <w:lastRenderedPageBreak/>
        <w:t xml:space="preserve">exchanges. Euronext-listed companies joined the segments voluntarily by signing Commitment Agreements </w:t>
      </w:r>
      <w:r w:rsidR="00A77B71">
        <w:rPr>
          <w:color w:val="000000"/>
        </w:rPr>
        <w:t xml:space="preserve">the specific requirements of which were </w:t>
      </w:r>
      <w:r w:rsidRPr="00DD6F71">
        <w:rPr>
          <w:color w:val="000000"/>
        </w:rPr>
        <w:t xml:space="preserve">to </w:t>
      </w:r>
      <w:r w:rsidR="00A77B71" w:rsidRPr="004E4657">
        <w:rPr>
          <w:color w:val="000000"/>
        </w:rPr>
        <w:t xml:space="preserve">(1) publish </w:t>
      </w:r>
      <w:r w:rsidR="00A77B71" w:rsidRPr="004E4657">
        <w:t xml:space="preserve">quarterly financial reports beginning in 2004; (2) adopt international accounting standards (or reconcile existing information with those standards) beginning in 2004; (3) publish financial documents in English beginning in 2002; (4) schedule at least two meetings annually for analysts; (5) describe corporate governance policy in the annual report; (6) announce a schedule for publications and meetings beginning in 2002; </w:t>
      </w:r>
      <w:r w:rsidR="00A77B71">
        <w:t xml:space="preserve">and </w:t>
      </w:r>
      <w:r w:rsidR="00A77B71" w:rsidRPr="004E4657">
        <w:t xml:space="preserve">(7) </w:t>
      </w:r>
      <w:r w:rsidR="00A77B71">
        <w:t xml:space="preserve">publish </w:t>
      </w:r>
      <w:r w:rsidR="00A77B71" w:rsidRPr="004E4657">
        <w:t>key financial information on their websites beginning in 2002.</w:t>
      </w:r>
      <w:r w:rsidRPr="00DD6F71">
        <w:rPr>
          <w:color w:val="000000"/>
        </w:rPr>
        <w:t xml:space="preserve"> </w:t>
      </w:r>
      <w:r>
        <w:t xml:space="preserve">Once firms signed Commitment Agreements (also referred to as Commitment Charters </w:t>
      </w:r>
      <w:r w:rsidR="00250358">
        <w:t xml:space="preserve">or </w:t>
      </w:r>
      <w:r>
        <w:t xml:space="preserve">Inclusion Agreements), Euronext assured them </w:t>
      </w:r>
      <w:r w:rsidR="00C532CC">
        <w:t xml:space="preserve">of </w:t>
      </w:r>
      <w:r>
        <w:t>additional visibility</w:t>
      </w:r>
      <w:r w:rsidR="00C532CC">
        <w:t xml:space="preserve"> by including them in the segment indices</w:t>
      </w:r>
      <w:r>
        <w:t>, and committed to actively seek to raise the profile of segment companies</w:t>
      </w:r>
      <w:r w:rsidR="00C532CC">
        <w:t xml:space="preserve"> through events and publications</w:t>
      </w:r>
      <w:r>
        <w:t xml:space="preserve">. </w:t>
      </w:r>
    </w:p>
    <w:p w:rsidR="003C471D" w:rsidRDefault="00457D50" w:rsidP="00175265">
      <w:pPr>
        <w:spacing w:line="480" w:lineRule="auto"/>
        <w:ind w:firstLine="432"/>
        <w:jc w:val="both"/>
      </w:pPr>
      <w:r>
        <w:t>As of December 31, 2001, 107 compan</w:t>
      </w:r>
      <w:r w:rsidR="009E5CE2">
        <w:t xml:space="preserve">ies were </w:t>
      </w:r>
      <w:r w:rsidR="00E30193">
        <w:t xml:space="preserve">on </w:t>
      </w:r>
      <w:r w:rsidR="004D3A46">
        <w:t xml:space="preserve">the </w:t>
      </w:r>
      <w:r w:rsidR="009E5CE2">
        <w:t xml:space="preserve">NextPrime </w:t>
      </w:r>
      <w:r w:rsidR="004D3A46">
        <w:t xml:space="preserve">segment </w:t>
      </w:r>
      <w:r>
        <w:t xml:space="preserve">and 93 companies were </w:t>
      </w:r>
      <w:proofErr w:type="spellStart"/>
      <w:r w:rsidR="00E30193">
        <w:t>on</w:t>
      </w:r>
      <w:r w:rsidR="004D3A46">
        <w:t>the</w:t>
      </w:r>
      <w:proofErr w:type="spellEnd"/>
      <w:r w:rsidR="004D3A46">
        <w:t xml:space="preserve"> </w:t>
      </w:r>
      <w:r>
        <w:t>NextEconomy</w:t>
      </w:r>
      <w:r w:rsidR="004D3A46">
        <w:t xml:space="preserve"> segment</w:t>
      </w:r>
      <w:r>
        <w:t>, representing market capitalization of Euros 65.18 billion</w:t>
      </w:r>
      <w:r w:rsidR="009E5CE2">
        <w:t xml:space="preserve"> (Euronext NV Annual Report 2001)</w:t>
      </w:r>
      <w:r>
        <w:t>. Over the years the segments existed (2002 through 2007)</w:t>
      </w:r>
      <w:proofErr w:type="gramStart"/>
      <w:r>
        <w:t>,</w:t>
      </w:r>
      <w:proofErr w:type="gramEnd"/>
      <w:r>
        <w:t xml:space="preserve"> Euronext dropped </w:t>
      </w:r>
      <w:r w:rsidR="004D3A46">
        <w:t xml:space="preserve">39 of our sample </w:t>
      </w:r>
      <w:r>
        <w:t xml:space="preserve">firms from the segments for cause, and added </w:t>
      </w:r>
      <w:r w:rsidR="004D3A46">
        <w:t xml:space="preserve">19 </w:t>
      </w:r>
      <w:r>
        <w:t xml:space="preserve">more </w:t>
      </w:r>
      <w:r w:rsidR="004D3A46">
        <w:t xml:space="preserve">sample </w:t>
      </w:r>
      <w:r>
        <w:t>firms to the segments at their petition.</w:t>
      </w:r>
      <w:r w:rsidR="003F10BD">
        <w:rPr>
          <w:rStyle w:val="FootnoteReference"/>
        </w:rPr>
        <w:footnoteReference w:id="11"/>
      </w:r>
      <w:r>
        <w:t xml:space="preserve"> </w:t>
      </w:r>
      <w:r w:rsidR="00E01271">
        <w:t xml:space="preserve">Given Euronext's goal of capturing liquidity in European firms' shares, it is not surprising that few firms were actually dropped for cause. Although Euronext did not have incentives to drop many firms, dropping at least some </w:t>
      </w:r>
      <w:r w:rsidR="00C532CC">
        <w:t>made</w:t>
      </w:r>
      <w:r w:rsidR="00E01271">
        <w:t xml:space="preserve"> the threat of exclusion for sufficiently egregious violations or failure credible for the remaining firms.  </w:t>
      </w:r>
    </w:p>
    <w:p w:rsidR="00994242" w:rsidRDefault="00994242" w:rsidP="00175265">
      <w:pPr>
        <w:spacing w:line="480" w:lineRule="auto"/>
        <w:ind w:firstLine="432"/>
        <w:jc w:val="both"/>
      </w:pPr>
      <w:r>
        <w:t>On October 23, 2007, Euronext announced the discontinuation of the NextEconomy and NextPrime segments.</w:t>
      </w:r>
      <w:r w:rsidR="003F10BD">
        <w:rPr>
          <w:rStyle w:val="FootnoteReference"/>
        </w:rPr>
        <w:footnoteReference w:id="12"/>
      </w:r>
      <w:r>
        <w:t xml:space="preserve"> Euronext gave as its reason the EU Transparency Directive's requirements for enhanced </w:t>
      </w:r>
      <w:r>
        <w:lastRenderedPageBreak/>
        <w:t>transparency and disclosure for all publicly-traded firms in Europe,</w:t>
      </w:r>
      <w:r w:rsidR="00C534A9">
        <w:rPr>
          <w:rStyle w:val="FootnoteReference"/>
        </w:rPr>
        <w:footnoteReference w:id="13"/>
      </w:r>
      <w:r>
        <w:t xml:space="preserve"> and therefore the inability of firms to voluntarily distinguish </w:t>
      </w:r>
      <w:proofErr w:type="gramStart"/>
      <w:r>
        <w:t>themselves</w:t>
      </w:r>
      <w:proofErr w:type="gramEnd"/>
      <w:r>
        <w:t xml:space="preserve"> by pre-committing to the higher standards, as follows:</w:t>
      </w:r>
    </w:p>
    <w:p w:rsidR="00B55A2D" w:rsidRDefault="00994242" w:rsidP="00B55A2D">
      <w:pPr>
        <w:ind w:left="720"/>
        <w:jc w:val="both"/>
        <w:rPr>
          <w:b/>
          <w:i/>
        </w:rPr>
      </w:pPr>
      <w:proofErr w:type="gramStart"/>
      <w:r>
        <w:t>Changes to EU regulations, more specifically regarding contents and deadlines for publications by listed companies following the Transparency Directive, entail that Euronext no longer needs to maintain the quality-based segments NextPrime and NextEconomy, introduced by Euronext on January 1st, 2002 with the aim of meeting the highest standards in terms of communications.</w:t>
      </w:r>
      <w:proofErr w:type="gramEnd"/>
      <w:r>
        <w:t xml:space="preserve"> Certain requirements that applied at the time the companies were admitted, now apply to all listed companies under the new regulatory framework.</w:t>
      </w:r>
      <w:r w:rsidR="00E01271">
        <w:t xml:space="preserve">  </w:t>
      </w:r>
      <w:r w:rsidR="00457D50">
        <w:rPr>
          <w:b/>
          <w:i/>
        </w:rPr>
        <w:t xml:space="preserve">  </w:t>
      </w:r>
    </w:p>
    <w:p w:rsidR="00B55A2D" w:rsidRDefault="00B55A2D" w:rsidP="00B55A2D">
      <w:pPr>
        <w:ind w:left="720"/>
        <w:jc w:val="both"/>
        <w:rPr>
          <w:b/>
        </w:rPr>
      </w:pPr>
    </w:p>
    <w:p w:rsidR="005161B8" w:rsidRDefault="005161B8" w:rsidP="00670D05">
      <w:pPr>
        <w:spacing w:line="480" w:lineRule="auto"/>
        <w:outlineLvl w:val="0"/>
        <w:rPr>
          <w:b/>
        </w:rPr>
      </w:pPr>
    </w:p>
    <w:p w:rsidR="00457D50" w:rsidRPr="00E01271" w:rsidRDefault="00A07622" w:rsidP="00670D05">
      <w:pPr>
        <w:spacing w:line="480" w:lineRule="auto"/>
        <w:outlineLvl w:val="0"/>
        <w:rPr>
          <w:b/>
        </w:rPr>
      </w:pPr>
      <w:r>
        <w:rPr>
          <w:b/>
        </w:rPr>
        <w:t>2.3</w:t>
      </w:r>
      <w:r w:rsidR="00457D50" w:rsidRPr="004E4491">
        <w:rPr>
          <w:b/>
        </w:rPr>
        <w:t xml:space="preserve"> Comparison of Segment and Non-Segment Firms' Reporting </w:t>
      </w:r>
      <w:r w:rsidR="00E01271">
        <w:rPr>
          <w:b/>
        </w:rPr>
        <w:t>and Disclosure Practices</w:t>
      </w:r>
      <w:r w:rsidR="00457D50" w:rsidRPr="004E4491">
        <w:rPr>
          <w:b/>
        </w:rPr>
        <w:t xml:space="preserve"> </w:t>
      </w:r>
    </w:p>
    <w:p w:rsidR="00457D50" w:rsidRDefault="004722B5" w:rsidP="00175265">
      <w:pPr>
        <w:spacing w:line="480" w:lineRule="auto"/>
        <w:ind w:firstLine="432"/>
        <w:jc w:val="both"/>
      </w:pPr>
      <w:r>
        <w:t>T</w:t>
      </w:r>
      <w:r w:rsidR="00994242">
        <w:t xml:space="preserve">o </w:t>
      </w:r>
      <w:r>
        <w:t>provide evidence on the extent to which firms listed on the named segments of Euronext improve</w:t>
      </w:r>
      <w:r w:rsidR="003F10BD">
        <w:t>d</w:t>
      </w:r>
      <w:r>
        <w:t xml:space="preserve"> financial reporting practices as required by the Commitment Agreements, w</w:t>
      </w:r>
      <w:r w:rsidR="00994242">
        <w:t>e collec</w:t>
      </w:r>
      <w:r w:rsidR="00871040">
        <w:t>ted</w:t>
      </w:r>
      <w:r w:rsidR="00994242">
        <w:t xml:space="preserve"> data </w:t>
      </w:r>
      <w:r>
        <w:t>on the incidence of several practices related to financial reporting and disclosure quality between segment and non-segment firms, and between the two segments.</w:t>
      </w:r>
      <w:r w:rsidR="00ED54D7">
        <w:rPr>
          <w:rStyle w:val="FootnoteReference"/>
        </w:rPr>
        <w:footnoteReference w:id="14"/>
      </w:r>
      <w:r w:rsidR="00994242">
        <w:t xml:space="preserve"> </w:t>
      </w:r>
      <w:r w:rsidR="00B43506">
        <w:t xml:space="preserve">Because </w:t>
      </w:r>
      <w:r w:rsidR="002C00E3">
        <w:t>scarce resources act as a constraint on monitoring and enforcement, we d</w:t>
      </w:r>
      <w:r w:rsidR="004D3A46">
        <w:t>id</w:t>
      </w:r>
      <w:r w:rsidR="002C00E3">
        <w:t xml:space="preserve"> not expect to observe perfect compliance</w:t>
      </w:r>
      <w:r w:rsidR="004D3A46">
        <w:t>.  W</w:t>
      </w:r>
      <w:r w:rsidR="002C00E3">
        <w:t>e compare characteristics between the segment and non-segment firms</w:t>
      </w:r>
      <w:r w:rsidR="00871040">
        <w:t xml:space="preserve"> </w:t>
      </w:r>
      <w:r w:rsidR="000B0622">
        <w:t xml:space="preserve">in </w:t>
      </w:r>
      <w:r w:rsidR="00871040">
        <w:t>table 1</w:t>
      </w:r>
      <w:r w:rsidR="004D3A46">
        <w:t>, based on</w:t>
      </w:r>
      <w:r w:rsidR="00457D50">
        <w:t xml:space="preserve"> all available firm-years for sample firms listed on the NextPrime and NextEconomy segments of Euronext, plus a random sample of 150 Euronext-listed firms not included on either named segment.</w:t>
      </w:r>
      <w:r w:rsidR="00457D50">
        <w:rPr>
          <w:rStyle w:val="FootnoteReference"/>
        </w:rPr>
        <w:footnoteReference w:id="15"/>
      </w:r>
      <w:r w:rsidR="00457D50">
        <w:t xml:space="preserve">  Sources </w:t>
      </w:r>
      <w:r w:rsidR="00250358">
        <w:t xml:space="preserve">of </w:t>
      </w:r>
      <w:r w:rsidR="00457D50">
        <w:t xml:space="preserve">data on the use </w:t>
      </w:r>
      <w:r w:rsidR="00457D50">
        <w:lastRenderedPageBreak/>
        <w:t xml:space="preserve">of a global auditor (Big Five or Big Four), </w:t>
      </w:r>
      <w:r>
        <w:t xml:space="preserve">the </w:t>
      </w:r>
      <w:r w:rsidR="00457D50">
        <w:t xml:space="preserve">use of IFRS, the release of quarterly reports in any year, and </w:t>
      </w:r>
      <w:r>
        <w:t xml:space="preserve">the </w:t>
      </w:r>
      <w:r w:rsidR="00457D50">
        <w:t xml:space="preserve">use of English as a primary or secondary reporting language are </w:t>
      </w:r>
      <w:proofErr w:type="spellStart"/>
      <w:r w:rsidR="00457D50">
        <w:t>ThomsonOne</w:t>
      </w:r>
      <w:proofErr w:type="spellEnd"/>
      <w:r w:rsidR="00457D50">
        <w:t xml:space="preserve"> filings and searches of company websites. The Website Score</w:t>
      </w:r>
      <w:r w:rsidR="004D3A46">
        <w:t xml:space="preserve"> variable </w:t>
      </w:r>
      <w:r w:rsidR="00457D50">
        <w:t xml:space="preserve">is from Frost, Gordon, and </w:t>
      </w:r>
      <w:proofErr w:type="spellStart"/>
      <w:r w:rsidR="00457D50">
        <w:t>Pownall</w:t>
      </w:r>
      <w:proofErr w:type="spellEnd"/>
      <w:r w:rsidR="00457D50">
        <w:t xml:space="preserve"> (2010), and the source of data on websites comes from current websites for each sample firm and from the Internet Archive </w:t>
      </w:r>
      <w:proofErr w:type="spellStart"/>
      <w:r w:rsidR="00457D50">
        <w:t>Wayback</w:t>
      </w:r>
      <w:proofErr w:type="spellEnd"/>
      <w:r w:rsidR="00457D50">
        <w:t xml:space="preserve"> Machine available at </w:t>
      </w:r>
      <w:r w:rsidR="00D41B9E" w:rsidRPr="00D41B9E">
        <w:t>http://www.archive.org/web/</w:t>
      </w:r>
      <w:r w:rsidR="00457D50" w:rsidRPr="007A6CE1">
        <w:rPr>
          <w:color w:val="000000"/>
        </w:rPr>
        <w:t>web.php</w:t>
      </w:r>
      <w:r w:rsidR="00457D50">
        <w:t xml:space="preserve"> for previous years' websites. The Website Score is a categorical variable taking on the following values: 0 if the firm has no website; 1 if the firm provides a domestic language website; 2 if the firm provides an English version of the website; 3 if the English version apparently mirrors (in form and content) the domestic language version; 4 if the website provides an investor relations page; 5 if the website provides current financial statements; 6 if the website provides archived financial reports; 7 if the website provides press releases; and 8 if the website provides conference calls</w:t>
      </w:r>
      <w:r>
        <w:t xml:space="preserve"> (Frost et al</w:t>
      </w:r>
      <w:r w:rsidR="00457D50">
        <w:t>.</w:t>
      </w:r>
      <w:r>
        <w:t xml:space="preserve"> 2010).</w:t>
      </w:r>
      <w:r w:rsidR="00457D50">
        <w:t xml:space="preserve"> Functioning Website is the percentage of firms in each category that have values of 1 or more on the Website Score.  </w:t>
      </w:r>
    </w:p>
    <w:p w:rsidR="00A644A7" w:rsidRDefault="004A13A5" w:rsidP="006D0625">
      <w:pPr>
        <w:spacing w:line="480" w:lineRule="auto"/>
        <w:ind w:firstLine="432"/>
        <w:jc w:val="center"/>
      </w:pPr>
      <w:r>
        <w:t>[Insert Table 1</w:t>
      </w:r>
      <w:r w:rsidR="004722B5">
        <w:t xml:space="preserve"> </w:t>
      </w:r>
      <w:proofErr w:type="gramStart"/>
      <w:r>
        <w:t>About</w:t>
      </w:r>
      <w:proofErr w:type="gramEnd"/>
      <w:r>
        <w:t xml:space="preserve"> Here]</w:t>
      </w:r>
    </w:p>
    <w:p w:rsidR="00B624CC" w:rsidRDefault="00457D50" w:rsidP="00175265">
      <w:pPr>
        <w:spacing w:line="480" w:lineRule="auto"/>
        <w:ind w:firstLine="432"/>
        <w:jc w:val="both"/>
      </w:pPr>
      <w:r>
        <w:t>The first four lines of table 1 compare the use of global auditors across segment and non-segment firms.</w:t>
      </w:r>
      <w:r>
        <w:rPr>
          <w:rStyle w:val="FootnoteReference"/>
        </w:rPr>
        <w:footnoteReference w:id="16"/>
      </w:r>
      <w:r>
        <w:t xml:space="preserve"> As of the establishment of the two named segments (2002), more segment firms than non-segment firms retained global auditors, and although the use of global auditors rose fairly consistently over time it remained higher for the segment firms. The second group of four lines compares the use of IFRS over time and </w:t>
      </w:r>
      <w:r w:rsidR="004D3A46">
        <w:t>between</w:t>
      </w:r>
      <w:r>
        <w:t xml:space="preserve"> segment and non-segment firms. Almost no Euronext-listed firms used IFRS when the segments were established, but one third of segment firms had adopted IFRS (as they had agreed in their Commitment Agreements) by 2004. Substantial numbers of both segment and non-</w:t>
      </w:r>
      <w:r>
        <w:lastRenderedPageBreak/>
        <w:t>segment firms had adopted IFRS by 2005 (87% and 58%, respectively), and adoptions continued to rise through 2009. We observe, however, that adoption of IFRS was far from complete for the non-segment firms, even in 2009, at 73%.</w:t>
      </w:r>
      <w:r w:rsidR="00B624CC">
        <w:rPr>
          <w:rStyle w:val="FootnoteReference"/>
        </w:rPr>
        <w:footnoteReference w:id="17"/>
      </w:r>
      <w:r>
        <w:t xml:space="preserve">  </w:t>
      </w:r>
    </w:p>
    <w:p w:rsidR="00B624CC" w:rsidRDefault="00457D50" w:rsidP="00175265">
      <w:pPr>
        <w:spacing w:line="480" w:lineRule="auto"/>
        <w:ind w:firstLine="432"/>
        <w:jc w:val="both"/>
      </w:pPr>
      <w:r>
        <w:t>The third group of four lines gives the incidence of quarterly reporting. In 2002, approximately one third of segment firms were already issuing quarterly reports, relative to only 9% of non-segment firms. By 2004</w:t>
      </w:r>
      <w:r w:rsidR="00D12058">
        <w:t>,</w:t>
      </w:r>
      <w:r>
        <w:t xml:space="preserve"> nearly half of segment firms were reporting quarterly compared with 10% of non-segment firms. Although the incidence of quarterly reporting continued to rise for both segment and non-segment </w:t>
      </w:r>
      <w:proofErr w:type="gramStart"/>
      <w:r>
        <w:t>firms, quarterly reporting was</w:t>
      </w:r>
      <w:proofErr w:type="gramEnd"/>
      <w:r>
        <w:t xml:space="preserve"> far from universal as recently as 2009, with 37% of non-segment firms, 39% of NextPrime firms, and 89% of NextEconomy firms publishing quarterly reports.</w:t>
      </w:r>
      <w:r w:rsidR="008416CF">
        <w:rPr>
          <w:rStyle w:val="FootnoteReference"/>
        </w:rPr>
        <w:footnoteReference w:id="18"/>
      </w:r>
      <w:r>
        <w:t xml:space="preserve"> </w:t>
      </w:r>
    </w:p>
    <w:p w:rsidR="00B624CC" w:rsidRDefault="00457D50" w:rsidP="00175265">
      <w:pPr>
        <w:spacing w:line="480" w:lineRule="auto"/>
        <w:ind w:firstLine="432"/>
        <w:jc w:val="both"/>
      </w:pPr>
      <w:r>
        <w:t xml:space="preserve">The fourth group of lines compares the incidence of primary or secondary reports in English.  Segment firms were ten times more likely to report in English than non-segment firms </w:t>
      </w:r>
      <w:r w:rsidR="004D3A46">
        <w:t>at</w:t>
      </w:r>
      <w:r>
        <w:t xml:space="preserve"> the beginning of the period (81% vs. 8%</w:t>
      </w:r>
      <w:r w:rsidR="00A22CC9">
        <w:t xml:space="preserve"> in 2002</w:t>
      </w:r>
      <w:r>
        <w:t>)</w:t>
      </w:r>
      <w:r w:rsidR="004D3A46">
        <w:t>, and 3.5 times more likely at</w:t>
      </w:r>
      <w:r>
        <w:t xml:space="preserve"> the end of the period (88% vs. 25% in 2009). </w:t>
      </w:r>
    </w:p>
    <w:p w:rsidR="00457D50" w:rsidRDefault="00457D50" w:rsidP="00175265">
      <w:pPr>
        <w:spacing w:line="480" w:lineRule="auto"/>
        <w:ind w:firstLine="432"/>
        <w:jc w:val="both"/>
      </w:pPr>
      <w:r>
        <w:t xml:space="preserve">Finally, the last two groups of four lines compare characteristics of sample firms' websites through time and across segment and non-segment firms. At the beginning of the period, the average non-segment firm had a website and might have offered an English language version (score of 1.47), compared with the average segment firm which had a website, with an English version substantially similar to the domestic language version and an investor relations page that may have provided financial statements (score of 4.29). Scores for all categories of firms rose monotonically over the period, and by the end of the period the average segment firm provided financial statements and may have provided </w:t>
      </w:r>
      <w:r>
        <w:lastRenderedPageBreak/>
        <w:t>archived financial reports (score of 5.79) relative to the average non-segment firm with a score of 3.77. Functioning websites have become standard for Euronext-listed firms, from a low of 59% of the non-segment firms and 85% of the segment firms in 2002 to nearly 100% of segment firms and 89% of non-segment firms at the end of the period.</w:t>
      </w:r>
      <w:r w:rsidR="00B624CC">
        <w:rPr>
          <w:rStyle w:val="FootnoteReference"/>
        </w:rPr>
        <w:footnoteReference w:id="19"/>
      </w:r>
      <w:r>
        <w:t xml:space="preserve"> </w:t>
      </w:r>
    </w:p>
    <w:p w:rsidR="00B34DC9" w:rsidRDefault="00B34DC9" w:rsidP="00175265">
      <w:pPr>
        <w:spacing w:line="480" w:lineRule="auto"/>
        <w:ind w:firstLine="432"/>
        <w:jc w:val="both"/>
        <w:rPr>
          <w:color w:val="000000"/>
        </w:rPr>
      </w:pPr>
      <w:r>
        <w:tab/>
        <w:t xml:space="preserve">For our cross-sectional empirical tests, we </w:t>
      </w:r>
      <w:r w:rsidR="00726EFE">
        <w:t>compute a measure</w:t>
      </w:r>
      <w:r>
        <w:t xml:space="preserve"> </w:t>
      </w:r>
      <w:r w:rsidR="00726EFE">
        <w:rPr>
          <w:color w:val="000000"/>
        </w:rPr>
        <w:t xml:space="preserve">based on the average of the </w:t>
      </w:r>
      <w:r w:rsidR="00650CDC">
        <w:rPr>
          <w:color w:val="000000"/>
        </w:rPr>
        <w:t xml:space="preserve">five </w:t>
      </w:r>
      <w:r w:rsidR="00726EFE">
        <w:rPr>
          <w:color w:val="000000"/>
        </w:rPr>
        <w:t xml:space="preserve">variables in table 1 that capture dimensions of the quality and accessibility of the firm's financial statements (global GAAP, English, global auditor, </w:t>
      </w:r>
      <w:r w:rsidR="003C471D">
        <w:rPr>
          <w:color w:val="000000"/>
        </w:rPr>
        <w:t xml:space="preserve">functioning </w:t>
      </w:r>
      <w:r w:rsidR="00726EFE">
        <w:rPr>
          <w:color w:val="000000"/>
        </w:rPr>
        <w:t>website</w:t>
      </w:r>
      <w:r w:rsidR="00650CDC">
        <w:rPr>
          <w:color w:val="000000"/>
        </w:rPr>
        <w:t>, and quarterly reporting</w:t>
      </w:r>
      <w:r w:rsidR="00726EFE">
        <w:rPr>
          <w:color w:val="000000"/>
        </w:rPr>
        <w:t>).  We split the segment firms at the median of this measure and define a variable Compl</w:t>
      </w:r>
      <w:r w:rsidR="00650CDC">
        <w:rPr>
          <w:color w:val="000000"/>
        </w:rPr>
        <w:t>5</w:t>
      </w:r>
      <w:r w:rsidR="00726EFE">
        <w:rPr>
          <w:color w:val="000000"/>
        </w:rPr>
        <w:t xml:space="preserve"> which is equal to one if the segment firm is at or above the median and zero if the segment firm is below the median.  We also compute a measure based on the average of </w:t>
      </w:r>
      <w:r w:rsidR="00650CDC">
        <w:rPr>
          <w:color w:val="000000"/>
        </w:rPr>
        <w:t xml:space="preserve">four </w:t>
      </w:r>
      <w:r w:rsidR="00726EFE">
        <w:rPr>
          <w:color w:val="000000"/>
        </w:rPr>
        <w:t>variables in table 1 (</w:t>
      </w:r>
      <w:r w:rsidR="00650CDC">
        <w:rPr>
          <w:color w:val="000000"/>
        </w:rPr>
        <w:t>global GAAP, English, global auditor, and functioning website</w:t>
      </w:r>
      <w:r w:rsidR="00726EFE">
        <w:rPr>
          <w:color w:val="000000"/>
        </w:rPr>
        <w:t xml:space="preserve">). </w:t>
      </w:r>
      <w:r w:rsidR="00390588">
        <w:rPr>
          <w:color w:val="000000"/>
        </w:rPr>
        <w:t xml:space="preserve">We employ these four components because they are more likely to </w:t>
      </w:r>
      <w:r w:rsidR="009F0597">
        <w:rPr>
          <w:color w:val="000000"/>
        </w:rPr>
        <w:t xml:space="preserve">capture the availability and comparability of accounting information, while </w:t>
      </w:r>
      <w:r w:rsidR="00390588">
        <w:rPr>
          <w:color w:val="000000"/>
        </w:rPr>
        <w:t xml:space="preserve">quarterly reporting </w:t>
      </w:r>
      <w:r w:rsidR="009F0597">
        <w:rPr>
          <w:color w:val="000000"/>
        </w:rPr>
        <w:t xml:space="preserve">only reflects the frequency of </w:t>
      </w:r>
      <w:r w:rsidR="00390588">
        <w:rPr>
          <w:color w:val="000000"/>
        </w:rPr>
        <w:t>informa</w:t>
      </w:r>
      <w:r w:rsidR="009F0597">
        <w:rPr>
          <w:color w:val="000000"/>
        </w:rPr>
        <w:t>tion updates</w:t>
      </w:r>
      <w:r w:rsidR="00390588">
        <w:rPr>
          <w:color w:val="000000"/>
        </w:rPr>
        <w:t xml:space="preserve">. </w:t>
      </w:r>
      <w:r w:rsidR="00726EFE">
        <w:rPr>
          <w:color w:val="000000"/>
        </w:rPr>
        <w:t>We split the firms at the median of this measure and define a variable Compl</w:t>
      </w:r>
      <w:r w:rsidR="00650CDC">
        <w:rPr>
          <w:color w:val="000000"/>
        </w:rPr>
        <w:t>4</w:t>
      </w:r>
      <w:r w:rsidR="00726EFE">
        <w:rPr>
          <w:color w:val="000000"/>
        </w:rPr>
        <w:t xml:space="preserve"> which is equal to one if the sample firm is at or above the median and zero otherwise. See table 2 for formal definitions of Compl4 and Compl5</w:t>
      </w:r>
      <w:r w:rsidR="008B2BC2">
        <w:rPr>
          <w:color w:val="000000"/>
        </w:rPr>
        <w:t>,</w:t>
      </w:r>
      <w:r w:rsidR="00726EFE">
        <w:rPr>
          <w:color w:val="000000"/>
        </w:rPr>
        <w:t xml:space="preserve"> and tables 5 and 8 for analyses using these variables.  </w:t>
      </w:r>
    </w:p>
    <w:p w:rsidR="0043265F" w:rsidRDefault="0043265F" w:rsidP="003C471D">
      <w:pPr>
        <w:spacing w:line="480" w:lineRule="auto"/>
        <w:ind w:firstLine="432"/>
      </w:pPr>
    </w:p>
    <w:p w:rsidR="00E30193" w:rsidRDefault="00E30193" w:rsidP="003C471D">
      <w:pPr>
        <w:spacing w:line="480" w:lineRule="auto"/>
        <w:ind w:firstLine="432"/>
      </w:pPr>
    </w:p>
    <w:p w:rsidR="00E30193" w:rsidRDefault="00E30193" w:rsidP="003C471D">
      <w:pPr>
        <w:spacing w:line="480" w:lineRule="auto"/>
        <w:ind w:firstLine="432"/>
      </w:pPr>
    </w:p>
    <w:p w:rsidR="002E4A2D" w:rsidRPr="00EA7B6E" w:rsidRDefault="0043265F" w:rsidP="002E4A2D">
      <w:pPr>
        <w:spacing w:line="480" w:lineRule="auto"/>
        <w:rPr>
          <w:b/>
        </w:rPr>
      </w:pPr>
      <w:r>
        <w:rPr>
          <w:b/>
        </w:rPr>
        <w:lastRenderedPageBreak/>
        <w:t xml:space="preserve">3. </w:t>
      </w:r>
      <w:r w:rsidR="008A5585">
        <w:rPr>
          <w:b/>
        </w:rPr>
        <w:t xml:space="preserve">Hypotheses </w:t>
      </w:r>
      <w:r w:rsidR="002E4A2D">
        <w:rPr>
          <w:b/>
        </w:rPr>
        <w:t>Development</w:t>
      </w:r>
    </w:p>
    <w:p w:rsidR="008A5585" w:rsidRDefault="002E4A2D" w:rsidP="00175265">
      <w:pPr>
        <w:spacing w:line="480" w:lineRule="auto"/>
        <w:ind w:firstLine="432"/>
        <w:jc w:val="both"/>
      </w:pPr>
      <w:r>
        <w:tab/>
      </w:r>
      <w:r w:rsidRPr="00EA7B6E">
        <w:t>There are several reasons to expect that trading liquidity of Euronext-listed firms increased when the four exchanges merged.  First, transactions costs fell substantially when the trading platforms were integrated and settlement and clearing procedures were standardized across the four countries</w:t>
      </w:r>
      <w:r w:rsidR="005B34A5">
        <w:t xml:space="preserve"> (The Economist 2006)</w:t>
      </w:r>
      <w:r w:rsidRPr="00EA7B6E">
        <w:t>.  Second, the securities of listed firms from all four countries were made available by the exchange to inves</w:t>
      </w:r>
      <w:r w:rsidR="005B34A5">
        <w:t>t</w:t>
      </w:r>
      <w:r w:rsidRPr="00EA7B6E">
        <w:t>ors from all four countries, substantially increasing the pool of potential shareholders for all listed firms.</w:t>
      </w:r>
      <w:r>
        <w:rPr>
          <w:rStyle w:val="FootnoteReference"/>
        </w:rPr>
        <w:footnoteReference w:id="20"/>
      </w:r>
      <w:r w:rsidRPr="00EA7B6E">
        <w:t xml:space="preserve">  </w:t>
      </w:r>
    </w:p>
    <w:p w:rsidR="002E4A2D" w:rsidRDefault="003C4546" w:rsidP="00175265">
      <w:pPr>
        <w:spacing w:line="480" w:lineRule="auto"/>
        <w:ind w:firstLine="432"/>
        <w:jc w:val="both"/>
      </w:pPr>
      <w:r>
        <w:t xml:space="preserve">However, the decrease in transaction costs as a result of the merger might not have been accompanied by </w:t>
      </w:r>
      <w:r w:rsidR="0003249A">
        <w:t xml:space="preserve">an increase </w:t>
      </w:r>
      <w:r>
        <w:t>in</w:t>
      </w:r>
      <w:r w:rsidR="0003249A">
        <w:t xml:space="preserve"> liquidity</w:t>
      </w:r>
      <w:r w:rsidR="008B2BC2">
        <w:t xml:space="preserve"> if investors were hesitant to buy securities of non-domestic firms due to differences in the transparency of financial information or the enforcement of securities regulations</w:t>
      </w:r>
      <w:r w:rsidR="002236CB">
        <w:t xml:space="preserve">. </w:t>
      </w:r>
      <w:r w:rsidR="002236CB" w:rsidRPr="001B304A">
        <w:t>While Euronext has developed a common set of listing qualifications and disclosure requirements applicable to all listed companies, Euronext has no power of enforcement on its own other than the threat of delisting, which is not an attractive option when the goal of Euronext is to maximize utility through garnering liquidity. Thus, firms listed on Euronext continue to be regulated by the regulatory agencies of their own home exchanges, and the strength of enforcement differs considerably across these four exchanges (Poser 2001, page 538).</w:t>
      </w:r>
      <w:r w:rsidR="002236CB" w:rsidRPr="001B304A">
        <w:rPr>
          <w:rStyle w:val="FootnoteReference"/>
          <w:color w:val="000000"/>
        </w:rPr>
        <w:t xml:space="preserve"> </w:t>
      </w:r>
      <w:r w:rsidR="002236CB" w:rsidRPr="001B304A">
        <w:rPr>
          <w:rStyle w:val="FootnoteReference"/>
          <w:color w:val="000000"/>
        </w:rPr>
        <w:footnoteReference w:id="21"/>
      </w:r>
      <w:r w:rsidR="002236CB" w:rsidRPr="001B304A">
        <w:rPr>
          <w:b/>
        </w:rPr>
        <w:t xml:space="preserve"> </w:t>
      </w:r>
      <w:r w:rsidR="002236CB" w:rsidRPr="001B304A">
        <w:t xml:space="preserve">For example, using the resources provided to the securities regulator in a country as a proxy for enforcement, Jackson and Roe (2009) find that for 2005 Amsterdam has the strongest enforcement out of the four markets – the market regulator on average employs a staff of 23 people per million of the Netherlands’ population and relies on a budget of 131,285 per billion dollars of Netherlands’ GDP. In contrast, Paris is the market with the weakest enforcement as measured by the staff of its market regulator (only 6 people per million of France’s </w:t>
      </w:r>
      <w:r w:rsidR="002236CB" w:rsidRPr="001B304A">
        <w:lastRenderedPageBreak/>
        <w:t>population), and Brussels is the market with weakest enforcement based on the budget of its capital market’s regulator (27,275 per billion dollars of Belgium’s GDP).</w:t>
      </w:r>
      <w:r w:rsidR="002236CB" w:rsidRPr="001B304A">
        <w:rPr>
          <w:rStyle w:val="FootnoteReference"/>
        </w:rPr>
        <w:footnoteReference w:id="22"/>
      </w:r>
      <w:r w:rsidR="002236CB" w:rsidRPr="001B304A">
        <w:t xml:space="preserve"> Therefore, firms are still subject to different institutional arrangements and legal enforcement mechanisms in their home countries, which provide firms with different incentives to use discretion when providing additional disclosure.</w:t>
      </w:r>
      <w:r w:rsidR="00B7777F">
        <w:rPr>
          <w:rStyle w:val="FootnoteReference"/>
        </w:rPr>
        <w:footnoteReference w:id="23"/>
      </w:r>
      <w:r w:rsidR="002236CB" w:rsidRPr="001B304A">
        <w:t xml:space="preserve"> Further, Euronext-listed firms are also able to use the integration of exchanges to avoid strict regulation by shifting listing among exchanges (</w:t>
      </w:r>
      <w:proofErr w:type="spellStart"/>
      <w:r w:rsidR="002236CB" w:rsidRPr="001B304A">
        <w:t>Piotroski</w:t>
      </w:r>
      <w:proofErr w:type="spellEnd"/>
      <w:r w:rsidR="002236CB" w:rsidRPr="001B304A">
        <w:t xml:space="preserve"> and </w:t>
      </w:r>
      <w:proofErr w:type="spellStart"/>
      <w:r w:rsidR="002236CB" w:rsidRPr="001B304A">
        <w:t>Srinivasan</w:t>
      </w:r>
      <w:proofErr w:type="spellEnd"/>
      <w:r w:rsidR="002236CB" w:rsidRPr="001B304A">
        <w:t xml:space="preserve"> 2008).</w:t>
      </w:r>
      <w:r w:rsidR="002236CB">
        <w:t xml:space="preserve"> Therefore, to test whether the Euronext merger resulted in liquidity benefits, we formulate the following hypothesis:</w:t>
      </w:r>
    </w:p>
    <w:p w:rsidR="005B34A5" w:rsidRDefault="005B34A5" w:rsidP="00175265">
      <w:pPr>
        <w:spacing w:line="360" w:lineRule="auto"/>
        <w:jc w:val="both"/>
      </w:pPr>
    </w:p>
    <w:p w:rsidR="002E4A2D" w:rsidRPr="005B34A5" w:rsidRDefault="002E4A2D" w:rsidP="00175265">
      <w:pPr>
        <w:autoSpaceDE w:val="0"/>
        <w:autoSpaceDN w:val="0"/>
        <w:adjustRightInd w:val="0"/>
        <w:spacing w:line="360" w:lineRule="auto"/>
        <w:jc w:val="both"/>
        <w:rPr>
          <w:b/>
          <w:i/>
          <w:color w:val="000000"/>
        </w:rPr>
      </w:pPr>
      <w:r w:rsidRPr="005B34A5">
        <w:rPr>
          <w:b/>
          <w:i/>
          <w:color w:val="000000"/>
        </w:rPr>
        <w:t>H1:  Stock market liquidity increased for Euronext-listed firms when the predecessor exchanges merged and integrated their trading platforms.</w:t>
      </w:r>
    </w:p>
    <w:p w:rsidR="005B34A5" w:rsidRPr="00EA7B6E" w:rsidRDefault="005B34A5" w:rsidP="00175265">
      <w:pPr>
        <w:autoSpaceDE w:val="0"/>
        <w:autoSpaceDN w:val="0"/>
        <w:adjustRightInd w:val="0"/>
        <w:spacing w:line="360" w:lineRule="auto"/>
        <w:jc w:val="both"/>
        <w:rPr>
          <w:b/>
          <w:color w:val="000000"/>
        </w:rPr>
      </w:pPr>
    </w:p>
    <w:p w:rsidR="007F1116" w:rsidRDefault="002E4A2D" w:rsidP="00175265">
      <w:pPr>
        <w:spacing w:line="480" w:lineRule="auto"/>
        <w:ind w:firstLine="432"/>
        <w:jc w:val="both"/>
      </w:pPr>
      <w:r>
        <w:rPr>
          <w:color w:val="000000"/>
        </w:rPr>
        <w:tab/>
      </w:r>
      <w:r w:rsidR="002C14E3">
        <w:t xml:space="preserve">On the other hand, </w:t>
      </w:r>
      <w:r w:rsidRPr="00EA7B6E">
        <w:rPr>
          <w:color w:val="000000"/>
        </w:rPr>
        <w:t xml:space="preserve">we expect that </w:t>
      </w:r>
      <w:r>
        <w:rPr>
          <w:color w:val="000000"/>
        </w:rPr>
        <w:t xml:space="preserve">if </w:t>
      </w:r>
      <w:r w:rsidRPr="00EA7B6E">
        <w:rPr>
          <w:color w:val="000000"/>
        </w:rPr>
        <w:t xml:space="preserve">Euronext's commitment to promote the visibility and reputations of the firms that choose to list on the named segments was effective, </w:t>
      </w:r>
      <w:r>
        <w:rPr>
          <w:color w:val="000000"/>
        </w:rPr>
        <w:t>liquidity increased more for the segment firms relative to the non-segment firms, controlling for other firm-specific characteristics</w:t>
      </w:r>
      <w:r w:rsidR="007F1116">
        <w:rPr>
          <w:color w:val="000000"/>
        </w:rPr>
        <w:t>. However, t</w:t>
      </w:r>
      <w:r w:rsidR="007F1116">
        <w:t>he effective operation</w:t>
      </w:r>
      <w:r w:rsidR="007F1116" w:rsidRPr="001B304A">
        <w:t xml:space="preserve"> of the two named segments strongly depends on the ability of Euronext to establish unified </w:t>
      </w:r>
      <w:r w:rsidR="007F1116">
        <w:t xml:space="preserve">rules </w:t>
      </w:r>
      <w:r w:rsidR="007F1116" w:rsidRPr="001B304A">
        <w:t xml:space="preserve">and enforcement </w:t>
      </w:r>
      <w:r w:rsidR="007F1116">
        <w:t xml:space="preserve">mechanisms </w:t>
      </w:r>
      <w:r w:rsidR="007F1116" w:rsidRPr="001B304A">
        <w:t xml:space="preserve">at the segment level regardless of the national </w:t>
      </w:r>
      <w:r w:rsidR="0003249A">
        <w:t xml:space="preserve">institutional </w:t>
      </w:r>
      <w:r w:rsidR="007F1116" w:rsidRPr="001B304A">
        <w:t>differences that still persist.</w:t>
      </w:r>
      <w:r w:rsidR="002236CB">
        <w:t xml:space="preserve"> If the creation of the two named segments is unable to deal with the ongoing national differences, there will be no added liquidity </w:t>
      </w:r>
      <w:r w:rsidR="002236CB">
        <w:lastRenderedPageBreak/>
        <w:t>benefits for segment vs. non-segment firms from the p</w:t>
      </w:r>
      <w:r w:rsidR="0003249A">
        <w:t>re</w:t>
      </w:r>
      <w:r w:rsidR="002236CB">
        <w:t>-merger period to the post-merger period.</w:t>
      </w:r>
      <w:r w:rsidR="00807330">
        <w:rPr>
          <w:rStyle w:val="FootnoteReference"/>
        </w:rPr>
        <w:footnoteReference w:id="24"/>
      </w:r>
      <w:r w:rsidR="002236CB">
        <w:t xml:space="preserve"> </w:t>
      </w:r>
      <w:r w:rsidR="004E1ECB">
        <w:t xml:space="preserve">Thus, to test whether the creation of the segments resulted in liquidity benefits for </w:t>
      </w:r>
      <w:r w:rsidR="00AB2093">
        <w:t>firms that chose to join them</w:t>
      </w:r>
      <w:r w:rsidR="004E1ECB">
        <w:t xml:space="preserve"> we formulate the following alternative hypothesis:</w:t>
      </w:r>
    </w:p>
    <w:p w:rsidR="007F1116" w:rsidRDefault="007F1116" w:rsidP="00175265">
      <w:pPr>
        <w:autoSpaceDE w:val="0"/>
        <w:autoSpaceDN w:val="0"/>
        <w:adjustRightInd w:val="0"/>
        <w:jc w:val="both"/>
        <w:rPr>
          <w:color w:val="000000"/>
        </w:rPr>
      </w:pPr>
    </w:p>
    <w:p w:rsidR="004E1ECB" w:rsidRPr="00EA7B6E" w:rsidRDefault="004E1ECB" w:rsidP="00175265">
      <w:pPr>
        <w:autoSpaceDE w:val="0"/>
        <w:autoSpaceDN w:val="0"/>
        <w:adjustRightInd w:val="0"/>
        <w:jc w:val="both"/>
        <w:rPr>
          <w:color w:val="000000"/>
        </w:rPr>
      </w:pPr>
    </w:p>
    <w:p w:rsidR="002E4A2D" w:rsidRPr="005B34A5" w:rsidRDefault="002E4A2D" w:rsidP="00175265">
      <w:pPr>
        <w:autoSpaceDE w:val="0"/>
        <w:autoSpaceDN w:val="0"/>
        <w:adjustRightInd w:val="0"/>
        <w:spacing w:line="360" w:lineRule="auto"/>
        <w:jc w:val="both"/>
        <w:rPr>
          <w:b/>
          <w:i/>
          <w:color w:val="000000"/>
        </w:rPr>
      </w:pPr>
      <w:r w:rsidRPr="005B34A5">
        <w:rPr>
          <w:b/>
          <w:i/>
          <w:color w:val="000000"/>
        </w:rPr>
        <w:t xml:space="preserve">H1A:   Stock market liquidity increased more for segment firms than for </w:t>
      </w:r>
      <w:r w:rsidR="003C471D" w:rsidRPr="005B34A5">
        <w:rPr>
          <w:b/>
          <w:i/>
          <w:color w:val="000000"/>
        </w:rPr>
        <w:t>non-segment</w:t>
      </w:r>
      <w:r w:rsidRPr="005B34A5">
        <w:rPr>
          <w:b/>
          <w:i/>
          <w:color w:val="000000"/>
        </w:rPr>
        <w:t xml:space="preserve"> firms when the predecessor exchanges merged and integrated their </w:t>
      </w:r>
      <w:r w:rsidR="005B34A5">
        <w:rPr>
          <w:b/>
          <w:i/>
          <w:color w:val="000000"/>
        </w:rPr>
        <w:t>t</w:t>
      </w:r>
      <w:r w:rsidRPr="005B34A5">
        <w:rPr>
          <w:b/>
          <w:i/>
          <w:color w:val="000000"/>
        </w:rPr>
        <w:t>rading platforms.</w:t>
      </w:r>
    </w:p>
    <w:p w:rsidR="002E4A2D" w:rsidRDefault="002E4A2D" w:rsidP="00175265">
      <w:pPr>
        <w:spacing w:line="480" w:lineRule="auto"/>
        <w:ind w:firstLine="432"/>
        <w:jc w:val="both"/>
      </w:pPr>
      <w:r>
        <w:rPr>
          <w:color w:val="000000"/>
        </w:rPr>
        <w:tab/>
      </w:r>
      <w:r>
        <w:t xml:space="preserve"> </w:t>
      </w:r>
    </w:p>
    <w:p w:rsidR="002E4A2D" w:rsidRPr="00EA7B6E" w:rsidRDefault="002E4A2D" w:rsidP="00175265">
      <w:pPr>
        <w:spacing w:line="480" w:lineRule="auto"/>
        <w:ind w:firstLine="432"/>
        <w:jc w:val="both"/>
        <w:rPr>
          <w:color w:val="000000"/>
        </w:rPr>
      </w:pPr>
      <w:r w:rsidRPr="00EA7B6E">
        <w:rPr>
          <w:color w:val="000000"/>
        </w:rPr>
        <w:t xml:space="preserve">Finally, we </w:t>
      </w:r>
      <w:r>
        <w:rPr>
          <w:color w:val="000000"/>
        </w:rPr>
        <w:t xml:space="preserve">are interested in whether the mechanism of </w:t>
      </w:r>
      <w:r w:rsidR="0003249A">
        <w:rPr>
          <w:color w:val="000000"/>
        </w:rPr>
        <w:t xml:space="preserve">segment </w:t>
      </w:r>
      <w:r>
        <w:rPr>
          <w:color w:val="000000"/>
        </w:rPr>
        <w:t xml:space="preserve">firms voluntarily signing </w:t>
      </w:r>
      <w:r w:rsidR="00FF428E">
        <w:rPr>
          <w:color w:val="000000"/>
        </w:rPr>
        <w:t>C</w:t>
      </w:r>
      <w:r>
        <w:rPr>
          <w:color w:val="000000"/>
        </w:rPr>
        <w:t xml:space="preserve">ommitment </w:t>
      </w:r>
      <w:r w:rsidR="00FF428E">
        <w:rPr>
          <w:color w:val="000000"/>
        </w:rPr>
        <w:t>A</w:t>
      </w:r>
      <w:r>
        <w:rPr>
          <w:color w:val="000000"/>
        </w:rPr>
        <w:t xml:space="preserve">greements was sufficient. </w:t>
      </w:r>
      <w:r w:rsidR="00B110C4">
        <w:rPr>
          <w:color w:val="000000"/>
        </w:rPr>
        <w:t>I</w:t>
      </w:r>
      <w:r>
        <w:rPr>
          <w:color w:val="000000"/>
        </w:rPr>
        <w:t xml:space="preserve">t may have been that investors' attention was drawn to the segment firms by the exchange's promotional efforts, but investors traded more freely only in those firms that honored their reporting commitments. Therefore, we </w:t>
      </w:r>
      <w:r w:rsidRPr="00EA7B6E">
        <w:rPr>
          <w:color w:val="000000"/>
        </w:rPr>
        <w:t xml:space="preserve">expect that the increase in liquidity for the firms signing Commitment Agreements was a function of their firm-specific compliance with their pre-commitments to enhanced transparency, </w:t>
      </w:r>
      <w:r w:rsidR="00FF428E">
        <w:rPr>
          <w:color w:val="000000"/>
        </w:rPr>
        <w:t>reporting</w:t>
      </w:r>
      <w:r w:rsidR="00FF428E" w:rsidRPr="00EA7B6E">
        <w:rPr>
          <w:color w:val="000000"/>
        </w:rPr>
        <w:t xml:space="preserve"> </w:t>
      </w:r>
      <w:r w:rsidRPr="00EA7B6E">
        <w:rPr>
          <w:color w:val="000000"/>
        </w:rPr>
        <w:t xml:space="preserve">quality, and corporate governance, rather than simply </w:t>
      </w:r>
      <w:r w:rsidR="00763E8B">
        <w:rPr>
          <w:color w:val="000000"/>
        </w:rPr>
        <w:t xml:space="preserve">of </w:t>
      </w:r>
      <w:r w:rsidRPr="00EA7B6E">
        <w:rPr>
          <w:color w:val="000000"/>
        </w:rPr>
        <w:t>the efforts of the exchange, leading to the hypothesis:</w:t>
      </w:r>
    </w:p>
    <w:p w:rsidR="007F1116" w:rsidRDefault="007F1116" w:rsidP="00175265">
      <w:pPr>
        <w:autoSpaceDE w:val="0"/>
        <w:autoSpaceDN w:val="0"/>
        <w:adjustRightInd w:val="0"/>
        <w:spacing w:line="360" w:lineRule="auto"/>
        <w:jc w:val="both"/>
        <w:rPr>
          <w:b/>
          <w:i/>
          <w:color w:val="000000"/>
        </w:rPr>
      </w:pPr>
    </w:p>
    <w:p w:rsidR="002E4A2D" w:rsidRPr="007F1116" w:rsidRDefault="002E4A2D" w:rsidP="00175265">
      <w:pPr>
        <w:autoSpaceDE w:val="0"/>
        <w:autoSpaceDN w:val="0"/>
        <w:adjustRightInd w:val="0"/>
        <w:spacing w:line="360" w:lineRule="auto"/>
        <w:jc w:val="both"/>
        <w:rPr>
          <w:b/>
          <w:i/>
          <w:color w:val="000000"/>
        </w:rPr>
      </w:pPr>
      <w:r w:rsidRPr="007F1116">
        <w:rPr>
          <w:b/>
          <w:i/>
          <w:color w:val="000000"/>
        </w:rPr>
        <w:t xml:space="preserve">H1B:  Stock market liquidity increased </w:t>
      </w:r>
      <w:r w:rsidR="00103300" w:rsidRPr="007F1116">
        <w:rPr>
          <w:b/>
          <w:i/>
          <w:color w:val="000000"/>
        </w:rPr>
        <w:t xml:space="preserve">more for </w:t>
      </w:r>
      <w:r w:rsidRPr="007F1116">
        <w:rPr>
          <w:b/>
          <w:i/>
          <w:color w:val="000000"/>
        </w:rPr>
        <w:t>segment firms</w:t>
      </w:r>
      <w:r w:rsidR="00103300" w:rsidRPr="007F1116">
        <w:rPr>
          <w:b/>
          <w:i/>
          <w:color w:val="000000"/>
        </w:rPr>
        <w:t xml:space="preserve"> that complied more fully</w:t>
      </w:r>
      <w:r w:rsidRPr="007F1116">
        <w:rPr>
          <w:b/>
          <w:i/>
          <w:color w:val="000000"/>
        </w:rPr>
        <w:t xml:space="preserve"> with the requirements of their Commitment Agreements.</w:t>
      </w:r>
    </w:p>
    <w:p w:rsidR="007F1116" w:rsidRDefault="007F1116" w:rsidP="002E4A2D">
      <w:pPr>
        <w:autoSpaceDE w:val="0"/>
        <w:autoSpaceDN w:val="0"/>
        <w:adjustRightInd w:val="0"/>
        <w:spacing w:line="480" w:lineRule="auto"/>
        <w:rPr>
          <w:color w:val="000000"/>
        </w:rPr>
      </w:pPr>
    </w:p>
    <w:p w:rsidR="002E4A2D" w:rsidRDefault="002E4A2D" w:rsidP="00175265">
      <w:pPr>
        <w:autoSpaceDE w:val="0"/>
        <w:autoSpaceDN w:val="0"/>
        <w:adjustRightInd w:val="0"/>
        <w:spacing w:line="480" w:lineRule="auto"/>
        <w:jc w:val="both"/>
        <w:rPr>
          <w:color w:val="000000"/>
        </w:rPr>
      </w:pPr>
      <w:r>
        <w:rPr>
          <w:color w:val="000000"/>
        </w:rPr>
        <w:tab/>
      </w:r>
      <w:r w:rsidR="00D107BD">
        <w:rPr>
          <w:color w:val="000000"/>
        </w:rPr>
        <w:t xml:space="preserve">In an effort to establish a more direct link between stock market liquidity and accounting quality, we also examine changes in accounting quality for Euronext listed companies from the pre- to the post-merger period. </w:t>
      </w:r>
      <w:r w:rsidRPr="00EA7B6E">
        <w:rPr>
          <w:color w:val="000000"/>
        </w:rPr>
        <w:t xml:space="preserve">There are several reasons to expect that Euronext-listed firms increased their accounting </w:t>
      </w:r>
      <w:r w:rsidRPr="00EA7B6E">
        <w:rPr>
          <w:color w:val="000000"/>
        </w:rPr>
        <w:lastRenderedPageBreak/>
        <w:t xml:space="preserve">quality at the time in the merger.  First, the integrated trading platform made their securities available to a substantial pool of investors who were less familiar with the firms than were their domestic investors, and firms may have increased the transparency of their financial reporting to compensate for the lack of familiarity. </w:t>
      </w:r>
      <w:r>
        <w:rPr>
          <w:color w:val="000000"/>
        </w:rPr>
        <w:t>Second,</w:t>
      </w:r>
      <w:r w:rsidRPr="00EA7B6E">
        <w:rPr>
          <w:color w:val="000000"/>
        </w:rPr>
        <w:t xml:space="preserve"> Euronext engaged in a continuous process of standardizing listing and trading rules in </w:t>
      </w:r>
      <w:r w:rsidR="004E1ECB">
        <w:rPr>
          <w:color w:val="000000"/>
        </w:rPr>
        <w:t>R</w:t>
      </w:r>
      <w:r w:rsidR="004E1ECB" w:rsidRPr="00EA7B6E">
        <w:rPr>
          <w:color w:val="000000"/>
        </w:rPr>
        <w:t xml:space="preserve">ulebook </w:t>
      </w:r>
      <w:r w:rsidRPr="00EA7B6E">
        <w:rPr>
          <w:color w:val="000000"/>
        </w:rPr>
        <w:t xml:space="preserve">I, and each </w:t>
      </w:r>
      <w:r w:rsidR="004E1ECB">
        <w:rPr>
          <w:color w:val="000000"/>
        </w:rPr>
        <w:t>R</w:t>
      </w:r>
      <w:r w:rsidR="004E1ECB" w:rsidRPr="00EA7B6E">
        <w:rPr>
          <w:color w:val="000000"/>
        </w:rPr>
        <w:t xml:space="preserve">ulebook </w:t>
      </w:r>
      <w:r w:rsidRPr="00EA7B6E">
        <w:rPr>
          <w:color w:val="000000"/>
        </w:rPr>
        <w:t xml:space="preserve">II codified continuing reporting rules for listed firms. As </w:t>
      </w:r>
      <w:r w:rsidR="004E1ECB">
        <w:rPr>
          <w:color w:val="000000"/>
        </w:rPr>
        <w:t>R</w:t>
      </w:r>
      <w:r w:rsidR="004E1ECB" w:rsidRPr="00EA7B6E">
        <w:rPr>
          <w:color w:val="000000"/>
        </w:rPr>
        <w:t xml:space="preserve">ulebook </w:t>
      </w:r>
      <w:r w:rsidRPr="00EA7B6E">
        <w:rPr>
          <w:color w:val="000000"/>
        </w:rPr>
        <w:t xml:space="preserve">II evolved, it is reasonable to suppose that the development and standardization of continuing reporting requirements may have been associated with increases in firm-specific reporting quality.  For these reasons, our second main hypothesis is:  </w:t>
      </w:r>
    </w:p>
    <w:p w:rsidR="004E1ECB" w:rsidRPr="00EA7B6E" w:rsidRDefault="004E1ECB" w:rsidP="00175265">
      <w:pPr>
        <w:autoSpaceDE w:val="0"/>
        <w:autoSpaceDN w:val="0"/>
        <w:adjustRightInd w:val="0"/>
        <w:spacing w:line="360" w:lineRule="auto"/>
        <w:jc w:val="both"/>
        <w:rPr>
          <w:color w:val="000000"/>
        </w:rPr>
      </w:pPr>
    </w:p>
    <w:p w:rsidR="002E4A2D" w:rsidRPr="004E1ECB" w:rsidRDefault="002E4A2D" w:rsidP="00175265">
      <w:pPr>
        <w:autoSpaceDE w:val="0"/>
        <w:autoSpaceDN w:val="0"/>
        <w:adjustRightInd w:val="0"/>
        <w:spacing w:line="360" w:lineRule="auto"/>
        <w:jc w:val="both"/>
        <w:rPr>
          <w:b/>
          <w:i/>
          <w:color w:val="000000"/>
        </w:rPr>
      </w:pPr>
      <w:r w:rsidRPr="004E1ECB">
        <w:rPr>
          <w:b/>
          <w:i/>
          <w:color w:val="000000"/>
        </w:rPr>
        <w:t>H2:  Accounting quality increased for Euronext-listed firms when the predecessor exchanges merged and integrated their trading platforms.</w:t>
      </w:r>
    </w:p>
    <w:p w:rsidR="004E1ECB" w:rsidRPr="00EA7B6E" w:rsidRDefault="004E1ECB" w:rsidP="00175265">
      <w:pPr>
        <w:autoSpaceDE w:val="0"/>
        <w:autoSpaceDN w:val="0"/>
        <w:adjustRightInd w:val="0"/>
        <w:spacing w:line="360" w:lineRule="auto"/>
        <w:jc w:val="both"/>
        <w:rPr>
          <w:b/>
          <w:color w:val="000000"/>
        </w:rPr>
      </w:pPr>
    </w:p>
    <w:p w:rsidR="002E4A2D" w:rsidRDefault="002E4A2D" w:rsidP="00175265">
      <w:pPr>
        <w:autoSpaceDE w:val="0"/>
        <w:autoSpaceDN w:val="0"/>
        <w:adjustRightInd w:val="0"/>
        <w:spacing w:line="480" w:lineRule="auto"/>
        <w:jc w:val="both"/>
        <w:rPr>
          <w:color w:val="000000"/>
        </w:rPr>
      </w:pPr>
      <w:r>
        <w:rPr>
          <w:color w:val="000000"/>
        </w:rPr>
        <w:tab/>
      </w:r>
      <w:r w:rsidR="00D107BD">
        <w:rPr>
          <w:color w:val="000000"/>
        </w:rPr>
        <w:t>On the other hand</w:t>
      </w:r>
      <w:r w:rsidRPr="00EA7B6E">
        <w:rPr>
          <w:color w:val="000000"/>
        </w:rPr>
        <w:t xml:space="preserve">, </w:t>
      </w:r>
      <w:r>
        <w:rPr>
          <w:color w:val="000000"/>
        </w:rPr>
        <w:t>the threat of delisting by the exchange, highlighting for investors the failure to honor their reporting quality pre</w:t>
      </w:r>
      <w:r w:rsidR="00FF428E">
        <w:rPr>
          <w:color w:val="000000"/>
        </w:rPr>
        <w:t>-</w:t>
      </w:r>
      <w:r>
        <w:rPr>
          <w:color w:val="000000"/>
        </w:rPr>
        <w:t xml:space="preserve">commitments, gave segment firms incentives to comply with the enhanced reporting quality outlined in the Commitment Agreements.  Thus, </w:t>
      </w:r>
      <w:r w:rsidRPr="00EA7B6E">
        <w:rPr>
          <w:color w:val="000000"/>
        </w:rPr>
        <w:t>we expect that the increases in accounting quality were more pronounced for the firms that explicitly pre-committed to</w:t>
      </w:r>
      <w:r w:rsidR="00D44416">
        <w:rPr>
          <w:color w:val="000000"/>
        </w:rPr>
        <w:t xml:space="preserve"> </w:t>
      </w:r>
      <w:proofErr w:type="gramStart"/>
      <w:r w:rsidRPr="00EA7B6E">
        <w:rPr>
          <w:color w:val="000000"/>
        </w:rPr>
        <w:t>enhanced</w:t>
      </w:r>
      <w:proofErr w:type="gramEnd"/>
      <w:r w:rsidRPr="00EA7B6E">
        <w:rPr>
          <w:color w:val="000000"/>
        </w:rPr>
        <w:t xml:space="preserve"> financial reporting by choosing to become listed on the named segments, </w:t>
      </w:r>
      <w:r>
        <w:rPr>
          <w:color w:val="000000"/>
        </w:rPr>
        <w:t xml:space="preserve">controlling for other firm-specific characteristics, </w:t>
      </w:r>
      <w:r w:rsidRPr="00EA7B6E">
        <w:rPr>
          <w:color w:val="000000"/>
        </w:rPr>
        <w:t>leading to the hypothesis:</w:t>
      </w:r>
    </w:p>
    <w:p w:rsidR="007F1116" w:rsidRPr="00EA7B6E" w:rsidRDefault="007F1116" w:rsidP="00175265">
      <w:pPr>
        <w:autoSpaceDE w:val="0"/>
        <w:autoSpaceDN w:val="0"/>
        <w:adjustRightInd w:val="0"/>
        <w:spacing w:line="360" w:lineRule="auto"/>
        <w:jc w:val="both"/>
        <w:rPr>
          <w:color w:val="000000"/>
        </w:rPr>
      </w:pPr>
    </w:p>
    <w:p w:rsidR="00F40639" w:rsidRDefault="002E4A2D" w:rsidP="00175265">
      <w:pPr>
        <w:autoSpaceDE w:val="0"/>
        <w:autoSpaceDN w:val="0"/>
        <w:adjustRightInd w:val="0"/>
        <w:spacing w:line="360" w:lineRule="auto"/>
        <w:jc w:val="both"/>
        <w:outlineLvl w:val="0"/>
        <w:rPr>
          <w:b/>
          <w:i/>
          <w:color w:val="000000"/>
        </w:rPr>
      </w:pPr>
      <w:r w:rsidRPr="007F1116">
        <w:rPr>
          <w:b/>
          <w:i/>
          <w:color w:val="000000"/>
        </w:rPr>
        <w:t xml:space="preserve">H2A:  Accounting quality increased more for segment firms than for </w:t>
      </w:r>
      <w:r w:rsidR="003C471D" w:rsidRPr="007F1116">
        <w:rPr>
          <w:b/>
          <w:i/>
          <w:color w:val="000000"/>
        </w:rPr>
        <w:t>non-segment</w:t>
      </w:r>
      <w:r w:rsidRPr="007F1116">
        <w:rPr>
          <w:b/>
          <w:i/>
          <w:color w:val="000000"/>
        </w:rPr>
        <w:t xml:space="preserve"> firms when the predecessor exchanges merged and integrated their trading</w:t>
      </w:r>
      <w:r w:rsidR="009606B1" w:rsidRPr="007F1116">
        <w:rPr>
          <w:b/>
          <w:i/>
          <w:color w:val="000000"/>
        </w:rPr>
        <w:t xml:space="preserve"> </w:t>
      </w:r>
      <w:r w:rsidRPr="007F1116">
        <w:rPr>
          <w:b/>
          <w:i/>
          <w:color w:val="000000"/>
        </w:rPr>
        <w:t>platforms.</w:t>
      </w:r>
    </w:p>
    <w:p w:rsidR="00B50DFE" w:rsidRDefault="00B50DFE" w:rsidP="00175265">
      <w:pPr>
        <w:autoSpaceDE w:val="0"/>
        <w:autoSpaceDN w:val="0"/>
        <w:adjustRightInd w:val="0"/>
        <w:spacing w:line="360" w:lineRule="auto"/>
        <w:jc w:val="both"/>
        <w:outlineLvl w:val="0"/>
        <w:rPr>
          <w:b/>
          <w:i/>
          <w:color w:val="000000"/>
        </w:rPr>
      </w:pPr>
    </w:p>
    <w:p w:rsidR="009606B1" w:rsidRDefault="009606B1" w:rsidP="00175265">
      <w:pPr>
        <w:autoSpaceDE w:val="0"/>
        <w:autoSpaceDN w:val="0"/>
        <w:adjustRightInd w:val="0"/>
        <w:spacing w:line="480" w:lineRule="auto"/>
        <w:jc w:val="both"/>
        <w:outlineLvl w:val="0"/>
        <w:rPr>
          <w:color w:val="000000"/>
        </w:rPr>
      </w:pPr>
      <w:r>
        <w:rPr>
          <w:b/>
          <w:color w:val="000000"/>
        </w:rPr>
        <w:tab/>
      </w:r>
      <w:r>
        <w:rPr>
          <w:color w:val="000000"/>
        </w:rPr>
        <w:t>Finally, we hypothesize that the segment firms that did more to honor the reporting provisions of their Commitment Agreement achieved higher quality earnings than the segment firms that complied less fully</w:t>
      </w:r>
      <w:r w:rsidR="00103300">
        <w:rPr>
          <w:color w:val="000000"/>
        </w:rPr>
        <w:t xml:space="preserve">.  Most of the reporting requirements of the Commitment Agreements do not map directly into </w:t>
      </w:r>
      <w:r w:rsidR="00103300">
        <w:rPr>
          <w:color w:val="000000"/>
        </w:rPr>
        <w:lastRenderedPageBreak/>
        <w:t>common proxies for earnings quality.  However, to the extent that abiding by the pre</w:t>
      </w:r>
      <w:r w:rsidR="00FF428E">
        <w:rPr>
          <w:color w:val="000000"/>
        </w:rPr>
        <w:t>-</w:t>
      </w:r>
      <w:r w:rsidR="00103300">
        <w:rPr>
          <w:color w:val="000000"/>
        </w:rPr>
        <w:t>commitments is a reflection of firms' reporting incentives</w:t>
      </w:r>
      <w:r w:rsidR="00701A2C">
        <w:rPr>
          <w:color w:val="000000"/>
        </w:rPr>
        <w:t>,</w:t>
      </w:r>
      <w:r w:rsidR="00103300">
        <w:rPr>
          <w:color w:val="000000"/>
        </w:rPr>
        <w:t xml:space="preserve"> we expect that </w:t>
      </w:r>
      <w:r w:rsidR="00701A2C">
        <w:rPr>
          <w:color w:val="000000"/>
        </w:rPr>
        <w:t xml:space="preserve">segment </w:t>
      </w:r>
      <w:r w:rsidR="00103300">
        <w:rPr>
          <w:color w:val="000000"/>
        </w:rPr>
        <w:t xml:space="preserve">firms that comply </w:t>
      </w:r>
      <w:r w:rsidR="00701A2C">
        <w:rPr>
          <w:color w:val="000000"/>
        </w:rPr>
        <w:t xml:space="preserve">more fully </w:t>
      </w:r>
      <w:r w:rsidR="00103300">
        <w:rPr>
          <w:color w:val="000000"/>
        </w:rPr>
        <w:t>with their promised enhancements to financial reporting quality will also make measurement choices associated with higher quality earnings</w:t>
      </w:r>
      <w:r>
        <w:rPr>
          <w:color w:val="000000"/>
        </w:rPr>
        <w:t>, leading to the hypothesis:</w:t>
      </w:r>
    </w:p>
    <w:p w:rsidR="007F1116" w:rsidRDefault="007F1116" w:rsidP="00175265">
      <w:pPr>
        <w:autoSpaceDE w:val="0"/>
        <w:autoSpaceDN w:val="0"/>
        <w:adjustRightInd w:val="0"/>
        <w:spacing w:line="360" w:lineRule="auto"/>
        <w:jc w:val="both"/>
        <w:outlineLvl w:val="0"/>
        <w:rPr>
          <w:color w:val="000000"/>
        </w:rPr>
      </w:pPr>
    </w:p>
    <w:p w:rsidR="009606B1" w:rsidRDefault="009606B1" w:rsidP="00175265">
      <w:pPr>
        <w:autoSpaceDE w:val="0"/>
        <w:autoSpaceDN w:val="0"/>
        <w:adjustRightInd w:val="0"/>
        <w:spacing w:line="360" w:lineRule="auto"/>
        <w:jc w:val="both"/>
        <w:rPr>
          <w:b/>
          <w:i/>
          <w:color w:val="000000"/>
        </w:rPr>
      </w:pPr>
      <w:r w:rsidRPr="007F1116">
        <w:rPr>
          <w:b/>
          <w:i/>
          <w:color w:val="000000"/>
        </w:rPr>
        <w:t>H</w:t>
      </w:r>
      <w:r w:rsidR="00103300" w:rsidRPr="007F1116">
        <w:rPr>
          <w:b/>
          <w:i/>
          <w:color w:val="000000"/>
        </w:rPr>
        <w:t>2</w:t>
      </w:r>
      <w:r w:rsidRPr="007F1116">
        <w:rPr>
          <w:b/>
          <w:i/>
          <w:color w:val="000000"/>
        </w:rPr>
        <w:t xml:space="preserve">B:  Accounting quality increased </w:t>
      </w:r>
      <w:r w:rsidR="00103300" w:rsidRPr="007F1116">
        <w:rPr>
          <w:b/>
          <w:i/>
          <w:color w:val="000000"/>
        </w:rPr>
        <w:t>more for segment firms that complied more fully</w:t>
      </w:r>
      <w:r w:rsidRPr="007F1116">
        <w:rPr>
          <w:b/>
          <w:i/>
          <w:color w:val="000000"/>
        </w:rPr>
        <w:t xml:space="preserve"> </w:t>
      </w:r>
      <w:r w:rsidR="00431CD7">
        <w:rPr>
          <w:b/>
          <w:i/>
          <w:color w:val="000000"/>
        </w:rPr>
        <w:t>with the requirements of their Commitment Agreem</w:t>
      </w:r>
      <w:r w:rsidR="00082FC9">
        <w:rPr>
          <w:b/>
          <w:i/>
          <w:color w:val="000000"/>
        </w:rPr>
        <w:t>e</w:t>
      </w:r>
      <w:r w:rsidR="00431CD7">
        <w:rPr>
          <w:b/>
          <w:i/>
          <w:color w:val="000000"/>
        </w:rPr>
        <w:t>nts.</w:t>
      </w:r>
    </w:p>
    <w:p w:rsidR="00D44416" w:rsidRDefault="00D44416" w:rsidP="00175265">
      <w:pPr>
        <w:spacing w:line="480" w:lineRule="auto"/>
        <w:jc w:val="both"/>
        <w:outlineLvl w:val="0"/>
        <w:rPr>
          <w:b/>
          <w:color w:val="000000"/>
        </w:rPr>
      </w:pPr>
    </w:p>
    <w:p w:rsidR="00617A49" w:rsidRDefault="0043265F" w:rsidP="00175265">
      <w:pPr>
        <w:spacing w:line="480" w:lineRule="auto"/>
        <w:jc w:val="both"/>
        <w:outlineLvl w:val="0"/>
        <w:rPr>
          <w:b/>
          <w:color w:val="000000"/>
        </w:rPr>
      </w:pPr>
      <w:r>
        <w:rPr>
          <w:b/>
          <w:color w:val="000000"/>
        </w:rPr>
        <w:t>4</w:t>
      </w:r>
      <w:r w:rsidR="00F31628" w:rsidRPr="006B6AC1">
        <w:rPr>
          <w:b/>
          <w:color w:val="000000"/>
        </w:rPr>
        <w:t xml:space="preserve">. </w:t>
      </w:r>
      <w:r w:rsidR="009D790B" w:rsidRPr="006B6AC1">
        <w:rPr>
          <w:b/>
          <w:color w:val="000000"/>
        </w:rPr>
        <w:t>Empirical Design and Results</w:t>
      </w:r>
    </w:p>
    <w:p w:rsidR="009D790B" w:rsidRDefault="0043265F" w:rsidP="00175265">
      <w:pPr>
        <w:autoSpaceDE w:val="0"/>
        <w:autoSpaceDN w:val="0"/>
        <w:adjustRightInd w:val="0"/>
        <w:spacing w:line="480" w:lineRule="auto"/>
        <w:jc w:val="both"/>
        <w:outlineLvl w:val="0"/>
        <w:rPr>
          <w:b/>
        </w:rPr>
      </w:pPr>
      <w:r>
        <w:rPr>
          <w:b/>
          <w:color w:val="000000"/>
        </w:rPr>
        <w:t>4</w:t>
      </w:r>
      <w:r w:rsidR="009D790B">
        <w:rPr>
          <w:b/>
          <w:color w:val="000000"/>
        </w:rPr>
        <w:t>.1 Sample Selection and D</w:t>
      </w:r>
      <w:r w:rsidR="008665DA">
        <w:rPr>
          <w:b/>
          <w:color w:val="000000"/>
        </w:rPr>
        <w:t>escriptive Statistics</w:t>
      </w:r>
    </w:p>
    <w:p w:rsidR="009D790B" w:rsidRDefault="009D790B" w:rsidP="00175265">
      <w:pPr>
        <w:spacing w:line="480" w:lineRule="auto"/>
        <w:ind w:firstLine="432"/>
        <w:jc w:val="both"/>
        <w:rPr>
          <w:color w:val="000000"/>
        </w:rPr>
      </w:pPr>
      <w:r>
        <w:rPr>
          <w:color w:val="000000"/>
        </w:rPr>
        <w:t>Our initial sample includes 1,</w:t>
      </w:r>
      <w:r w:rsidR="00A644A7">
        <w:rPr>
          <w:color w:val="000000"/>
        </w:rPr>
        <w:t>058</w:t>
      </w:r>
      <w:r>
        <w:rPr>
          <w:color w:val="000000"/>
        </w:rPr>
        <w:t xml:space="preserve"> domestic firms (8,</w:t>
      </w:r>
      <w:r w:rsidR="00A644A7">
        <w:rPr>
          <w:color w:val="000000"/>
        </w:rPr>
        <w:t>622</w:t>
      </w:r>
      <w:r>
        <w:rPr>
          <w:color w:val="000000"/>
        </w:rPr>
        <w:t xml:space="preserve"> firm-years) listed on the Amsterdam, Brussels, Paris, and Lisbon stock exchanges in the period </w:t>
      </w:r>
      <w:r w:rsidRPr="008B33DA">
        <w:rPr>
          <w:color w:val="000000"/>
        </w:rPr>
        <w:t>1993–200</w:t>
      </w:r>
      <w:r>
        <w:rPr>
          <w:color w:val="000000"/>
        </w:rPr>
        <w:t xml:space="preserve">7 with </w:t>
      </w:r>
      <w:r w:rsidR="00A644A7">
        <w:rPr>
          <w:color w:val="000000"/>
        </w:rPr>
        <w:t xml:space="preserve">accounting and market </w:t>
      </w:r>
      <w:r>
        <w:rPr>
          <w:color w:val="000000"/>
        </w:rPr>
        <w:t xml:space="preserve">data available in </w:t>
      </w:r>
      <w:proofErr w:type="spellStart"/>
      <w:r>
        <w:rPr>
          <w:color w:val="000000"/>
        </w:rPr>
        <w:t>WorldScope</w:t>
      </w:r>
      <w:proofErr w:type="spellEnd"/>
      <w:r w:rsidR="00564761">
        <w:rPr>
          <w:color w:val="000000"/>
        </w:rPr>
        <w:t xml:space="preserve"> and </w:t>
      </w:r>
      <w:proofErr w:type="spellStart"/>
      <w:r w:rsidR="00564761">
        <w:rPr>
          <w:color w:val="000000"/>
        </w:rPr>
        <w:t>Datastream</w:t>
      </w:r>
      <w:proofErr w:type="spellEnd"/>
      <w:r w:rsidR="00F31628">
        <w:rPr>
          <w:color w:val="000000"/>
        </w:rPr>
        <w:t>.</w:t>
      </w:r>
      <w:r w:rsidR="00D12058">
        <w:rPr>
          <w:rStyle w:val="FootnoteReference"/>
          <w:color w:val="000000"/>
        </w:rPr>
        <w:footnoteReference w:id="25"/>
      </w:r>
      <w:r>
        <w:rPr>
          <w:color w:val="000000"/>
        </w:rPr>
        <w:t xml:space="preserve"> For the firms in our sample, w</w:t>
      </w:r>
      <w:r w:rsidRPr="008B33DA">
        <w:rPr>
          <w:color w:val="000000"/>
        </w:rPr>
        <w:t>e</w:t>
      </w:r>
      <w:r>
        <w:rPr>
          <w:color w:val="000000"/>
        </w:rPr>
        <w:t xml:space="preserve"> collect from </w:t>
      </w:r>
      <w:proofErr w:type="spellStart"/>
      <w:r>
        <w:rPr>
          <w:color w:val="000000"/>
        </w:rPr>
        <w:t>WorldScope</w:t>
      </w:r>
      <w:proofErr w:type="spellEnd"/>
      <w:r>
        <w:rPr>
          <w:color w:val="000000"/>
        </w:rPr>
        <w:t xml:space="preserve"> </w:t>
      </w:r>
      <w:r w:rsidRPr="008B33DA">
        <w:rPr>
          <w:color w:val="000000"/>
        </w:rPr>
        <w:t xml:space="preserve">financial variables and the number of </w:t>
      </w:r>
      <w:r>
        <w:rPr>
          <w:color w:val="000000"/>
        </w:rPr>
        <w:t xml:space="preserve">foreign </w:t>
      </w:r>
      <w:r w:rsidRPr="008B33DA">
        <w:rPr>
          <w:color w:val="000000"/>
        </w:rPr>
        <w:t xml:space="preserve">exchanges </w:t>
      </w:r>
      <w:r>
        <w:rPr>
          <w:color w:val="000000"/>
        </w:rPr>
        <w:t xml:space="preserve">on which </w:t>
      </w:r>
      <w:r w:rsidRPr="008B33DA">
        <w:rPr>
          <w:color w:val="000000"/>
        </w:rPr>
        <w:t xml:space="preserve">the </w:t>
      </w:r>
      <w:r>
        <w:rPr>
          <w:color w:val="000000"/>
        </w:rPr>
        <w:t xml:space="preserve">sample </w:t>
      </w:r>
      <w:r w:rsidRPr="008B33DA">
        <w:rPr>
          <w:color w:val="000000"/>
        </w:rPr>
        <w:t xml:space="preserve">companies </w:t>
      </w:r>
      <w:r>
        <w:rPr>
          <w:color w:val="000000"/>
        </w:rPr>
        <w:t>are listed</w:t>
      </w:r>
      <w:r w:rsidR="00F31628">
        <w:rPr>
          <w:color w:val="000000"/>
        </w:rPr>
        <w:t xml:space="preserve">. </w:t>
      </w:r>
      <w:r>
        <w:rPr>
          <w:color w:val="000000"/>
        </w:rPr>
        <w:t xml:space="preserve"> As table </w:t>
      </w:r>
      <w:r w:rsidR="00A644A7">
        <w:rPr>
          <w:color w:val="000000"/>
        </w:rPr>
        <w:t>3</w:t>
      </w:r>
      <w:r>
        <w:rPr>
          <w:color w:val="000000"/>
        </w:rPr>
        <w:t xml:space="preserve">, panel </w:t>
      </w:r>
      <w:proofErr w:type="gramStart"/>
      <w:r>
        <w:rPr>
          <w:color w:val="000000"/>
        </w:rPr>
        <w:t>A</w:t>
      </w:r>
      <w:proofErr w:type="gramEnd"/>
      <w:r>
        <w:rPr>
          <w:color w:val="000000"/>
        </w:rPr>
        <w:t xml:space="preserve"> shows,</w:t>
      </w:r>
      <w:r w:rsidR="00253BE1">
        <w:rPr>
          <w:color w:val="000000"/>
        </w:rPr>
        <w:t xml:space="preserve"> we removed </w:t>
      </w:r>
      <w:r w:rsidR="00A644A7">
        <w:rPr>
          <w:color w:val="000000"/>
        </w:rPr>
        <w:t>256</w:t>
      </w:r>
      <w:r w:rsidR="00253BE1">
        <w:rPr>
          <w:color w:val="000000"/>
        </w:rPr>
        <w:t xml:space="preserve"> firms and </w:t>
      </w:r>
      <w:r w:rsidR="00A644A7">
        <w:rPr>
          <w:color w:val="000000"/>
        </w:rPr>
        <w:t>2,599</w:t>
      </w:r>
      <w:r>
        <w:rPr>
          <w:color w:val="000000"/>
        </w:rPr>
        <w:t xml:space="preserve"> firm-years for missing </w:t>
      </w:r>
      <w:r w:rsidR="00A644A7">
        <w:rPr>
          <w:color w:val="000000"/>
        </w:rPr>
        <w:t>accounting and control variables</w:t>
      </w:r>
      <w:r w:rsidR="00F31628">
        <w:rPr>
          <w:color w:val="000000"/>
        </w:rPr>
        <w:t xml:space="preserve">. </w:t>
      </w:r>
      <w:r>
        <w:rPr>
          <w:color w:val="000000"/>
        </w:rPr>
        <w:t>Due to the presence of outliers in the data, we furt</w:t>
      </w:r>
      <w:r w:rsidR="003C73BA">
        <w:rPr>
          <w:color w:val="000000"/>
        </w:rPr>
        <w:t>her removed the top and bottom 0.5</w:t>
      </w:r>
      <w:r>
        <w:rPr>
          <w:color w:val="000000"/>
        </w:rPr>
        <w:t>% of the returns</w:t>
      </w:r>
      <w:r w:rsidR="00455DD6">
        <w:rPr>
          <w:color w:val="000000"/>
        </w:rPr>
        <w:t>,</w:t>
      </w:r>
      <w:r>
        <w:rPr>
          <w:color w:val="000000"/>
        </w:rPr>
        <w:t xml:space="preserve"> earnings</w:t>
      </w:r>
      <w:r w:rsidR="00455DD6">
        <w:rPr>
          <w:color w:val="000000"/>
        </w:rPr>
        <w:t xml:space="preserve">, and </w:t>
      </w:r>
      <w:r w:rsidR="00DA5956">
        <w:rPr>
          <w:color w:val="000000"/>
        </w:rPr>
        <w:t>price</w:t>
      </w:r>
      <w:r w:rsidR="00455DD6">
        <w:rPr>
          <w:color w:val="000000"/>
        </w:rPr>
        <w:t xml:space="preserve"> variable </w:t>
      </w:r>
      <w:r>
        <w:rPr>
          <w:color w:val="000000"/>
        </w:rPr>
        <w:t xml:space="preserve">distributions, with a loss of </w:t>
      </w:r>
      <w:r w:rsidR="00A644A7">
        <w:rPr>
          <w:color w:val="000000"/>
        </w:rPr>
        <w:t>24</w:t>
      </w:r>
      <w:r>
        <w:rPr>
          <w:color w:val="000000"/>
        </w:rPr>
        <w:t xml:space="preserve"> firms and </w:t>
      </w:r>
      <w:r w:rsidR="00A644A7">
        <w:rPr>
          <w:color w:val="000000"/>
        </w:rPr>
        <w:t>461</w:t>
      </w:r>
      <w:r>
        <w:rPr>
          <w:color w:val="000000"/>
        </w:rPr>
        <w:t xml:space="preserve"> firm-years. To balance the data and </w:t>
      </w:r>
      <w:r w:rsidR="00177756">
        <w:rPr>
          <w:color w:val="000000"/>
        </w:rPr>
        <w:t xml:space="preserve">to </w:t>
      </w:r>
      <w:r>
        <w:rPr>
          <w:color w:val="000000"/>
        </w:rPr>
        <w:t xml:space="preserve">avoid estimation error due to different samples in the pre- vs. post-merger periods, we removed </w:t>
      </w:r>
      <w:r w:rsidR="00A644A7">
        <w:rPr>
          <w:color w:val="000000"/>
        </w:rPr>
        <w:t>249</w:t>
      </w:r>
      <w:r>
        <w:rPr>
          <w:color w:val="000000"/>
        </w:rPr>
        <w:t xml:space="preserve"> firms (</w:t>
      </w:r>
      <w:r w:rsidR="00A644A7">
        <w:rPr>
          <w:color w:val="000000"/>
        </w:rPr>
        <w:t>706</w:t>
      </w:r>
      <w:r>
        <w:rPr>
          <w:color w:val="000000"/>
        </w:rPr>
        <w:t xml:space="preserve"> firm-years) that lacked either pre- or post-merger data.</w:t>
      </w:r>
      <w:r w:rsidR="0006535B">
        <w:rPr>
          <w:rStyle w:val="FootnoteReference"/>
          <w:color w:val="000000"/>
        </w:rPr>
        <w:footnoteReference w:id="26"/>
      </w:r>
      <w:r w:rsidRPr="0046474A">
        <w:rPr>
          <w:color w:val="000000"/>
        </w:rPr>
        <w:t xml:space="preserve"> </w:t>
      </w:r>
      <w:r>
        <w:rPr>
          <w:color w:val="000000"/>
        </w:rPr>
        <w:t xml:space="preserve">We </w:t>
      </w:r>
      <w:r w:rsidRPr="008B33DA">
        <w:rPr>
          <w:color w:val="000000"/>
        </w:rPr>
        <w:t xml:space="preserve">use the </w:t>
      </w:r>
      <w:r>
        <w:rPr>
          <w:color w:val="000000"/>
        </w:rPr>
        <w:t xml:space="preserve">Euronext Cash </w:t>
      </w:r>
      <w:r w:rsidR="004D3A46">
        <w:rPr>
          <w:color w:val="000000"/>
        </w:rPr>
        <w:t>M</w:t>
      </w:r>
      <w:r>
        <w:rPr>
          <w:color w:val="000000"/>
        </w:rPr>
        <w:t>arket-</w:t>
      </w:r>
      <w:r w:rsidRPr="008B33DA">
        <w:rPr>
          <w:color w:val="000000"/>
        </w:rPr>
        <w:t xml:space="preserve">Monthly </w:t>
      </w:r>
      <w:r w:rsidR="004D3A46">
        <w:rPr>
          <w:color w:val="000000"/>
        </w:rPr>
        <w:t>S</w:t>
      </w:r>
      <w:r w:rsidRPr="008B33DA">
        <w:rPr>
          <w:color w:val="000000"/>
        </w:rPr>
        <w:t xml:space="preserve">tatistics to determine which of </w:t>
      </w:r>
      <w:r>
        <w:rPr>
          <w:color w:val="000000"/>
        </w:rPr>
        <w:t>the companies in our sample are listed on</w:t>
      </w:r>
      <w:r w:rsidRPr="008B33DA">
        <w:rPr>
          <w:color w:val="000000"/>
        </w:rPr>
        <w:t xml:space="preserve"> the NextPrime and Next</w:t>
      </w:r>
      <w:r>
        <w:rPr>
          <w:color w:val="000000"/>
        </w:rPr>
        <w:t>E</w:t>
      </w:r>
      <w:r w:rsidRPr="008B33DA">
        <w:rPr>
          <w:color w:val="000000"/>
        </w:rPr>
        <w:t>conomy segments</w:t>
      </w:r>
      <w:r>
        <w:rPr>
          <w:color w:val="000000"/>
        </w:rPr>
        <w:t xml:space="preserve">. The final sample for </w:t>
      </w:r>
      <w:r w:rsidR="00A644A7">
        <w:rPr>
          <w:color w:val="000000"/>
        </w:rPr>
        <w:t xml:space="preserve">primary </w:t>
      </w:r>
      <w:r>
        <w:rPr>
          <w:color w:val="000000"/>
        </w:rPr>
        <w:t xml:space="preserve">analyses is </w:t>
      </w:r>
      <w:r w:rsidR="00A644A7">
        <w:rPr>
          <w:color w:val="000000"/>
        </w:rPr>
        <w:t>529</w:t>
      </w:r>
      <w:r>
        <w:rPr>
          <w:color w:val="000000"/>
        </w:rPr>
        <w:t xml:space="preserve"> firms with </w:t>
      </w:r>
      <w:r w:rsidR="00A644A7">
        <w:rPr>
          <w:color w:val="000000"/>
        </w:rPr>
        <w:t>4,856</w:t>
      </w:r>
      <w:r>
        <w:rPr>
          <w:color w:val="000000"/>
        </w:rPr>
        <w:t xml:space="preserve"> </w:t>
      </w:r>
      <w:r>
        <w:rPr>
          <w:color w:val="000000"/>
        </w:rPr>
        <w:lastRenderedPageBreak/>
        <w:t>firm-years</w:t>
      </w:r>
      <w:r w:rsidR="00F31628">
        <w:rPr>
          <w:color w:val="000000"/>
        </w:rPr>
        <w:t>.</w:t>
      </w:r>
      <w:r w:rsidR="00A644A7">
        <w:rPr>
          <w:color w:val="000000"/>
        </w:rPr>
        <w:t xml:space="preserve">  When we replicate the analysis using propensity score matching (see section</w:t>
      </w:r>
      <w:r w:rsidR="00701A2C">
        <w:rPr>
          <w:color w:val="000000"/>
        </w:rPr>
        <w:t xml:space="preserve"> 5</w:t>
      </w:r>
      <w:r w:rsidR="00A644A7">
        <w:rPr>
          <w:color w:val="000000"/>
        </w:rPr>
        <w:t xml:space="preserve">), we lose a further 55 firms and 2,410 </w:t>
      </w:r>
      <w:r w:rsidR="003C73BA">
        <w:rPr>
          <w:color w:val="000000"/>
        </w:rPr>
        <w:t>firm-years</w:t>
      </w:r>
      <w:r w:rsidR="008665DA">
        <w:rPr>
          <w:color w:val="000000"/>
        </w:rPr>
        <w:t>, leaving 474 firms with 2,446</w:t>
      </w:r>
      <w:r w:rsidR="003C73BA">
        <w:rPr>
          <w:color w:val="000000"/>
        </w:rPr>
        <w:t xml:space="preserve"> firm-years.  </w:t>
      </w:r>
      <w:r w:rsidR="00670D05">
        <w:rPr>
          <w:color w:val="000000"/>
        </w:rPr>
        <w:t>Because our results with and without propensity score matching are similar, we discuss the results using the larger sample first, with the propensity score matched results reported as a diagnostic.</w:t>
      </w:r>
    </w:p>
    <w:p w:rsidR="009D790B" w:rsidRDefault="009D790B" w:rsidP="001A0E5D">
      <w:pPr>
        <w:spacing w:line="480" w:lineRule="auto"/>
        <w:jc w:val="center"/>
        <w:rPr>
          <w:color w:val="000000"/>
        </w:rPr>
      </w:pPr>
      <w:r>
        <w:rPr>
          <w:color w:val="000000"/>
        </w:rPr>
        <w:t xml:space="preserve">[Insert Tables </w:t>
      </w:r>
      <w:r w:rsidR="00A644A7">
        <w:rPr>
          <w:color w:val="000000"/>
        </w:rPr>
        <w:t>2</w:t>
      </w:r>
      <w:r>
        <w:rPr>
          <w:color w:val="000000"/>
        </w:rPr>
        <w:t xml:space="preserve"> and </w:t>
      </w:r>
      <w:r w:rsidR="00A644A7">
        <w:rPr>
          <w:color w:val="000000"/>
        </w:rPr>
        <w:t>3</w:t>
      </w:r>
      <w:r>
        <w:rPr>
          <w:color w:val="000000"/>
        </w:rPr>
        <w:t xml:space="preserve"> </w:t>
      </w:r>
      <w:proofErr w:type="gramStart"/>
      <w:r>
        <w:rPr>
          <w:color w:val="000000"/>
        </w:rPr>
        <w:t>About</w:t>
      </w:r>
      <w:proofErr w:type="gramEnd"/>
      <w:r>
        <w:rPr>
          <w:color w:val="000000"/>
        </w:rPr>
        <w:t xml:space="preserve"> Here]</w:t>
      </w:r>
    </w:p>
    <w:p w:rsidR="009D790B" w:rsidRDefault="009D790B" w:rsidP="00175265">
      <w:pPr>
        <w:spacing w:line="480" w:lineRule="auto"/>
        <w:ind w:firstLine="432"/>
        <w:jc w:val="both"/>
        <w:rPr>
          <w:color w:val="000000"/>
        </w:rPr>
      </w:pPr>
      <w:r>
        <w:rPr>
          <w:color w:val="000000"/>
        </w:rPr>
        <w:t xml:space="preserve">Panel B of table </w:t>
      </w:r>
      <w:r w:rsidR="004A13A5">
        <w:rPr>
          <w:color w:val="000000"/>
        </w:rPr>
        <w:t>3</w:t>
      </w:r>
      <w:r>
        <w:rPr>
          <w:color w:val="000000"/>
        </w:rPr>
        <w:t xml:space="preserve"> presents descriptive statistics for the variables used in our </w:t>
      </w:r>
      <w:r w:rsidR="004D3A46">
        <w:rPr>
          <w:color w:val="000000"/>
        </w:rPr>
        <w:t xml:space="preserve">liquidity and </w:t>
      </w:r>
      <w:r w:rsidR="003C73BA">
        <w:rPr>
          <w:color w:val="000000"/>
        </w:rPr>
        <w:t xml:space="preserve">accounting quality </w:t>
      </w:r>
      <w:r>
        <w:rPr>
          <w:color w:val="000000"/>
        </w:rPr>
        <w:t>analyses as well as several firm characteristics, and panel C provides the same statistics partitioned by the segment vs. non-segment distinction</w:t>
      </w:r>
      <w:r w:rsidR="00F31628">
        <w:rPr>
          <w:color w:val="000000"/>
        </w:rPr>
        <w:t xml:space="preserve">. </w:t>
      </w:r>
      <w:r>
        <w:rPr>
          <w:color w:val="000000"/>
        </w:rPr>
        <w:t xml:space="preserve">Comparison of the </w:t>
      </w:r>
      <w:r w:rsidR="004A13A5">
        <w:rPr>
          <w:color w:val="000000"/>
        </w:rPr>
        <w:t xml:space="preserve">means reported in </w:t>
      </w:r>
      <w:r w:rsidR="003C73BA">
        <w:rPr>
          <w:color w:val="000000"/>
        </w:rPr>
        <w:t>panel C</w:t>
      </w:r>
      <w:r>
        <w:rPr>
          <w:color w:val="000000"/>
        </w:rPr>
        <w:t xml:space="preserve"> suggests that </w:t>
      </w:r>
      <w:r w:rsidR="0006552A">
        <w:rPr>
          <w:color w:val="000000"/>
        </w:rPr>
        <w:t xml:space="preserve">both before and after the merger, </w:t>
      </w:r>
      <w:r w:rsidR="004A13A5">
        <w:rPr>
          <w:color w:val="000000"/>
        </w:rPr>
        <w:t xml:space="preserve">relative to the non-segment firms, </w:t>
      </w:r>
      <w:r>
        <w:rPr>
          <w:color w:val="000000"/>
        </w:rPr>
        <w:t xml:space="preserve">the segment firms have </w:t>
      </w:r>
      <w:r w:rsidR="0006552A">
        <w:rPr>
          <w:color w:val="000000"/>
        </w:rPr>
        <w:t>less negative accruals (as a percentage of total assets), lower bid-ask spreads, fewer non-trading days, higher sales growth, lower leverage, higher assets turnover, greater likelihood of using a global auditor, lower likelihood of being listed also on U.S. exchanges, and more volatile stock returns.   Segment firms also have marginally lower op</w:t>
      </w:r>
      <w:r w:rsidR="00B72955">
        <w:rPr>
          <w:color w:val="000000"/>
        </w:rPr>
        <w:t>e</w:t>
      </w:r>
      <w:r w:rsidR="0006552A">
        <w:rPr>
          <w:color w:val="000000"/>
        </w:rPr>
        <w:t xml:space="preserve">rating cash flows (OCF) before but not after the merger.  </w:t>
      </w:r>
    </w:p>
    <w:p w:rsidR="006D0625" w:rsidRDefault="006D0625" w:rsidP="00175265">
      <w:pPr>
        <w:spacing w:line="480" w:lineRule="auto"/>
        <w:jc w:val="both"/>
        <w:outlineLvl w:val="0"/>
        <w:rPr>
          <w:b/>
          <w:color w:val="000000"/>
        </w:rPr>
      </w:pPr>
    </w:p>
    <w:p w:rsidR="00030204" w:rsidRDefault="0043265F" w:rsidP="00175265">
      <w:pPr>
        <w:spacing w:line="480" w:lineRule="auto"/>
        <w:jc w:val="both"/>
        <w:outlineLvl w:val="0"/>
        <w:rPr>
          <w:b/>
          <w:color w:val="000000"/>
        </w:rPr>
      </w:pPr>
      <w:r>
        <w:rPr>
          <w:b/>
          <w:color w:val="000000"/>
        </w:rPr>
        <w:t>4</w:t>
      </w:r>
      <w:r w:rsidR="00030204">
        <w:rPr>
          <w:b/>
          <w:color w:val="000000"/>
        </w:rPr>
        <w:t>.2 Liquidity Analyses</w:t>
      </w:r>
    </w:p>
    <w:p w:rsidR="00030204" w:rsidRDefault="00030204" w:rsidP="00175265">
      <w:pPr>
        <w:spacing w:line="480" w:lineRule="auto"/>
        <w:ind w:firstLine="432"/>
        <w:jc w:val="both"/>
        <w:rPr>
          <w:color w:val="000000"/>
        </w:rPr>
      </w:pPr>
      <w:r>
        <w:rPr>
          <w:color w:val="000000"/>
        </w:rPr>
        <w:t xml:space="preserve">First, we conduct empirical analyses to </w:t>
      </w:r>
      <w:r w:rsidR="006A61C8">
        <w:rPr>
          <w:color w:val="000000"/>
        </w:rPr>
        <w:t>(</w:t>
      </w:r>
      <w:proofErr w:type="spellStart"/>
      <w:r w:rsidR="006A61C8">
        <w:rPr>
          <w:color w:val="000000"/>
        </w:rPr>
        <w:t>i</w:t>
      </w:r>
      <w:proofErr w:type="spellEnd"/>
      <w:r w:rsidR="006A61C8">
        <w:rPr>
          <w:color w:val="000000"/>
        </w:rPr>
        <w:t xml:space="preserve">) assess </w:t>
      </w:r>
      <w:r>
        <w:rPr>
          <w:color w:val="000000"/>
        </w:rPr>
        <w:t xml:space="preserve">the impact of the Euronext formation and segmentation on </w:t>
      </w:r>
      <w:r w:rsidR="004D3A46">
        <w:rPr>
          <w:color w:val="000000"/>
        </w:rPr>
        <w:t>stock market</w:t>
      </w:r>
      <w:r>
        <w:rPr>
          <w:color w:val="000000"/>
        </w:rPr>
        <w:t xml:space="preserve"> liquidity</w:t>
      </w:r>
      <w:r w:rsidR="006A61C8" w:rsidRPr="007007C2">
        <w:rPr>
          <w:rStyle w:val="FootnoteReference"/>
          <w:color w:val="000000"/>
        </w:rPr>
        <w:footnoteReference w:id="27"/>
      </w:r>
      <w:r>
        <w:rPr>
          <w:color w:val="000000"/>
        </w:rPr>
        <w:t xml:space="preserve"> for </w:t>
      </w:r>
      <w:r w:rsidR="006A61C8">
        <w:rPr>
          <w:color w:val="000000"/>
        </w:rPr>
        <w:t xml:space="preserve">Euronext-listed firms, (ii) compare the impact on the </w:t>
      </w:r>
      <w:r>
        <w:rPr>
          <w:color w:val="000000"/>
        </w:rPr>
        <w:t>segment vs. non-segment firms</w:t>
      </w:r>
      <w:r w:rsidR="006A61C8">
        <w:rPr>
          <w:color w:val="000000"/>
        </w:rPr>
        <w:t>, and (iii) assess the extent to which changes in liquidity were associated</w:t>
      </w:r>
      <w:r w:rsidR="007006CD">
        <w:rPr>
          <w:color w:val="000000"/>
        </w:rPr>
        <w:t xml:space="preserve"> with</w:t>
      </w:r>
      <w:r w:rsidR="006A61C8">
        <w:rPr>
          <w:color w:val="000000"/>
        </w:rPr>
        <w:t xml:space="preserve"> segment firms' compliance with the </w:t>
      </w:r>
      <w:r w:rsidR="00DF4F3F">
        <w:rPr>
          <w:color w:val="000000"/>
        </w:rPr>
        <w:t xml:space="preserve">financial </w:t>
      </w:r>
      <w:r w:rsidR="006A61C8">
        <w:rPr>
          <w:color w:val="000000"/>
        </w:rPr>
        <w:t>reporting provisions of their Commitment Agreements. These analyses are tests of hypotheses H1, H1A, and H1B</w:t>
      </w:r>
      <w:r w:rsidR="002078F7">
        <w:rPr>
          <w:color w:val="000000"/>
        </w:rPr>
        <w:t>, respectively</w:t>
      </w:r>
      <w:r w:rsidR="006A61C8">
        <w:rPr>
          <w:color w:val="000000"/>
        </w:rPr>
        <w:t>.</w:t>
      </w:r>
      <w:r>
        <w:rPr>
          <w:color w:val="000000"/>
        </w:rPr>
        <w:t xml:space="preserve">  </w:t>
      </w:r>
    </w:p>
    <w:p w:rsidR="00030204" w:rsidRPr="0006322F" w:rsidRDefault="0043265F" w:rsidP="00175265">
      <w:pPr>
        <w:spacing w:line="480" w:lineRule="auto"/>
        <w:jc w:val="both"/>
        <w:outlineLvl w:val="0"/>
        <w:rPr>
          <w:b/>
          <w:color w:val="000000"/>
        </w:rPr>
      </w:pPr>
      <w:r>
        <w:rPr>
          <w:b/>
          <w:color w:val="000000"/>
        </w:rPr>
        <w:lastRenderedPageBreak/>
        <w:t>4</w:t>
      </w:r>
      <w:r w:rsidR="00030204">
        <w:rPr>
          <w:b/>
          <w:color w:val="000000"/>
        </w:rPr>
        <w:t>.2.1</w:t>
      </w:r>
      <w:r w:rsidR="00030204" w:rsidRPr="007337ED">
        <w:rPr>
          <w:b/>
          <w:color w:val="000000"/>
        </w:rPr>
        <w:t xml:space="preserve"> </w:t>
      </w:r>
      <w:r w:rsidR="00030204">
        <w:rPr>
          <w:b/>
        </w:rPr>
        <w:t>Empirical Design</w:t>
      </w:r>
    </w:p>
    <w:p w:rsidR="00030204" w:rsidRDefault="00030204" w:rsidP="00175265">
      <w:pPr>
        <w:spacing w:line="480" w:lineRule="auto"/>
        <w:ind w:firstLine="432"/>
        <w:jc w:val="both"/>
        <w:rPr>
          <w:color w:val="000000"/>
        </w:rPr>
      </w:pPr>
      <w:r>
        <w:rPr>
          <w:color w:val="000000"/>
        </w:rPr>
        <w:t xml:space="preserve">We use two proxies for liquidity. Following </w:t>
      </w:r>
      <w:proofErr w:type="spellStart"/>
      <w:r>
        <w:rPr>
          <w:color w:val="000000"/>
        </w:rPr>
        <w:t>Ashbaugh</w:t>
      </w:r>
      <w:proofErr w:type="spellEnd"/>
      <w:r>
        <w:rPr>
          <w:color w:val="000000"/>
        </w:rPr>
        <w:t xml:space="preserve">, </w:t>
      </w:r>
      <w:proofErr w:type="spellStart"/>
      <w:r>
        <w:rPr>
          <w:color w:val="000000"/>
        </w:rPr>
        <w:t>Gassen</w:t>
      </w:r>
      <w:proofErr w:type="spellEnd"/>
      <w:r>
        <w:rPr>
          <w:color w:val="000000"/>
        </w:rPr>
        <w:t xml:space="preserve">, and </w:t>
      </w:r>
      <w:proofErr w:type="spellStart"/>
      <w:r>
        <w:rPr>
          <w:color w:val="000000"/>
        </w:rPr>
        <w:t>LaFond</w:t>
      </w:r>
      <w:proofErr w:type="spellEnd"/>
      <w:r>
        <w:rPr>
          <w:color w:val="000000"/>
        </w:rPr>
        <w:t xml:space="preserve"> (2006), we define </w:t>
      </w:r>
      <w:proofErr w:type="spellStart"/>
      <w:r>
        <w:rPr>
          <w:color w:val="000000"/>
        </w:rPr>
        <w:t>perc_zeroret</w:t>
      </w:r>
      <w:proofErr w:type="spellEnd"/>
      <w:r>
        <w:rPr>
          <w:color w:val="000000"/>
        </w:rPr>
        <w:t xml:space="preserve"> as the percentage of </w:t>
      </w:r>
      <w:r w:rsidR="000C7B44">
        <w:rPr>
          <w:color w:val="000000"/>
        </w:rPr>
        <w:t xml:space="preserve">trading </w:t>
      </w:r>
      <w:r>
        <w:rPr>
          <w:color w:val="000000"/>
        </w:rPr>
        <w:t>days with zero return in year t. Smaller values of this variable indicate fewer days during the year on which no trading occurred, and therefore higher liquidity.</w:t>
      </w:r>
      <w:r w:rsidR="000C7B44">
        <w:rPr>
          <w:color w:val="000000"/>
        </w:rPr>
        <w:t xml:space="preserve"> </w:t>
      </w:r>
      <w:r w:rsidR="00103300">
        <w:rPr>
          <w:color w:val="000000"/>
        </w:rPr>
        <w:t>T</w:t>
      </w:r>
      <w:r w:rsidR="000C7B44">
        <w:rPr>
          <w:color w:val="000000"/>
        </w:rPr>
        <w:t>he mean</w:t>
      </w:r>
      <w:r>
        <w:rPr>
          <w:color w:val="000000"/>
        </w:rPr>
        <w:t xml:space="preserve"> bid-ask spread for </w:t>
      </w:r>
      <w:r w:rsidR="007007C2">
        <w:rPr>
          <w:color w:val="000000"/>
        </w:rPr>
        <w:t xml:space="preserve">firm </w:t>
      </w:r>
      <w:proofErr w:type="spellStart"/>
      <w:r w:rsidR="007007C2">
        <w:rPr>
          <w:color w:val="000000"/>
        </w:rPr>
        <w:t>i</w:t>
      </w:r>
      <w:proofErr w:type="spellEnd"/>
      <w:r w:rsidR="007007C2">
        <w:rPr>
          <w:color w:val="000000"/>
        </w:rPr>
        <w:t xml:space="preserve"> </w:t>
      </w:r>
      <w:r>
        <w:rPr>
          <w:color w:val="000000"/>
        </w:rPr>
        <w:t>in year t</w:t>
      </w:r>
      <w:r w:rsidR="00103300">
        <w:rPr>
          <w:color w:val="000000"/>
        </w:rPr>
        <w:t xml:space="preserve"> (</w:t>
      </w:r>
      <w:proofErr w:type="spellStart"/>
      <w:r w:rsidR="00103300">
        <w:rPr>
          <w:color w:val="000000"/>
        </w:rPr>
        <w:t>mn_bidask</w:t>
      </w:r>
      <w:proofErr w:type="spellEnd"/>
      <w:r w:rsidR="00103300">
        <w:rPr>
          <w:color w:val="000000"/>
        </w:rPr>
        <w:t>) is</w:t>
      </w:r>
      <w:r>
        <w:rPr>
          <w:color w:val="000000"/>
        </w:rPr>
        <w:t xml:space="preserve"> (</w:t>
      </w:r>
      <w:proofErr w:type="spellStart"/>
      <w:r>
        <w:rPr>
          <w:color w:val="000000"/>
        </w:rPr>
        <w:t>AskPrice</w:t>
      </w:r>
      <w:proofErr w:type="spellEnd"/>
      <w:r>
        <w:rPr>
          <w:color w:val="000000"/>
        </w:rPr>
        <w:t xml:space="preserve"> - </w:t>
      </w:r>
      <w:proofErr w:type="spellStart"/>
      <w:r>
        <w:rPr>
          <w:color w:val="000000"/>
        </w:rPr>
        <w:t>BidPrice</w:t>
      </w:r>
      <w:proofErr w:type="spellEnd"/>
      <w:r>
        <w:rPr>
          <w:color w:val="000000"/>
        </w:rPr>
        <w:t>)</w:t>
      </w:r>
      <w:proofErr w:type="gramStart"/>
      <w:r>
        <w:rPr>
          <w:color w:val="000000"/>
        </w:rPr>
        <w:t>/(</w:t>
      </w:r>
      <w:proofErr w:type="spellStart"/>
      <w:proofErr w:type="gramEnd"/>
      <w:r>
        <w:rPr>
          <w:color w:val="000000"/>
        </w:rPr>
        <w:t>AskPrice</w:t>
      </w:r>
      <w:proofErr w:type="spellEnd"/>
      <w:r>
        <w:rPr>
          <w:color w:val="000000"/>
        </w:rPr>
        <w:t xml:space="preserve"> + </w:t>
      </w:r>
      <w:proofErr w:type="spellStart"/>
      <w:r>
        <w:rPr>
          <w:color w:val="000000"/>
        </w:rPr>
        <w:t>BidPrice</w:t>
      </w:r>
      <w:proofErr w:type="spellEnd"/>
      <w:r>
        <w:rPr>
          <w:color w:val="000000"/>
        </w:rPr>
        <w:t xml:space="preserve">)/2, with data from </w:t>
      </w:r>
      <w:proofErr w:type="spellStart"/>
      <w:r>
        <w:rPr>
          <w:color w:val="000000"/>
        </w:rPr>
        <w:t>Datastream</w:t>
      </w:r>
      <w:proofErr w:type="spellEnd"/>
      <w:r>
        <w:rPr>
          <w:color w:val="000000"/>
        </w:rPr>
        <w:t xml:space="preserve">.  Recall from table 3 that the bid-ask spread and </w:t>
      </w:r>
      <w:proofErr w:type="spellStart"/>
      <w:r>
        <w:rPr>
          <w:color w:val="000000"/>
        </w:rPr>
        <w:t>perc_zeroret</w:t>
      </w:r>
      <w:proofErr w:type="spellEnd"/>
      <w:r>
        <w:rPr>
          <w:color w:val="000000"/>
        </w:rPr>
        <w:t xml:space="preserve"> (mean</w:t>
      </w:r>
      <w:r w:rsidR="000C7B44">
        <w:rPr>
          <w:color w:val="000000"/>
        </w:rPr>
        <w:t xml:space="preserve"> and median</w:t>
      </w:r>
      <w:r>
        <w:rPr>
          <w:color w:val="000000"/>
        </w:rPr>
        <w:t xml:space="preserve">) were significantly lower for the segment firms relative to the non-segment firms before and after the merger, consistent with the segment firms trading with more liquidity in both periods.  </w:t>
      </w:r>
      <w:r w:rsidR="00103300">
        <w:rPr>
          <w:color w:val="000000"/>
        </w:rPr>
        <w:t>T</w:t>
      </w:r>
      <w:r>
        <w:rPr>
          <w:color w:val="000000"/>
        </w:rPr>
        <w:t xml:space="preserve">he liquidity measures for the non-segment firms </w:t>
      </w:r>
      <w:r w:rsidR="00103300">
        <w:rPr>
          <w:color w:val="000000"/>
        </w:rPr>
        <w:t>worsened</w:t>
      </w:r>
      <w:r>
        <w:rPr>
          <w:color w:val="000000"/>
        </w:rPr>
        <w:t xml:space="preserve"> after the merger</w:t>
      </w:r>
      <w:r w:rsidR="00103300">
        <w:rPr>
          <w:color w:val="000000"/>
        </w:rPr>
        <w:t>,</w:t>
      </w:r>
      <w:r w:rsidR="00DC25FB">
        <w:rPr>
          <w:color w:val="000000"/>
        </w:rPr>
        <w:t xml:space="preserve"> </w:t>
      </w:r>
      <w:r w:rsidR="00103300">
        <w:rPr>
          <w:color w:val="000000"/>
        </w:rPr>
        <w:t>but</w:t>
      </w:r>
      <w:r>
        <w:rPr>
          <w:color w:val="000000"/>
        </w:rPr>
        <w:t xml:space="preserve"> both</w:t>
      </w:r>
      <w:r w:rsidR="001450A3">
        <w:rPr>
          <w:color w:val="000000"/>
        </w:rPr>
        <w:t xml:space="preserve"> measures </w:t>
      </w:r>
      <w:r w:rsidR="00DC25FB">
        <w:rPr>
          <w:color w:val="000000"/>
        </w:rPr>
        <w:t xml:space="preserve">showed increased liquidity </w:t>
      </w:r>
      <w:r>
        <w:rPr>
          <w:color w:val="000000"/>
        </w:rPr>
        <w:t>after t</w:t>
      </w:r>
      <w:r w:rsidR="00DC25FB">
        <w:rPr>
          <w:color w:val="000000"/>
        </w:rPr>
        <w:t xml:space="preserve">he merger for the segment firms.  </w:t>
      </w:r>
      <w:r>
        <w:rPr>
          <w:color w:val="000000"/>
        </w:rPr>
        <w:t>The differences are statistically significant</w:t>
      </w:r>
      <w:r w:rsidR="001450A3">
        <w:rPr>
          <w:color w:val="000000"/>
        </w:rPr>
        <w:t xml:space="preserve"> (not tabulated)</w:t>
      </w:r>
      <w:proofErr w:type="gramStart"/>
      <w:r>
        <w:rPr>
          <w:color w:val="000000"/>
        </w:rPr>
        <w:t>,</w:t>
      </w:r>
      <w:proofErr w:type="gramEnd"/>
      <w:r>
        <w:rPr>
          <w:color w:val="000000"/>
        </w:rPr>
        <w:t xml:space="preserve"> consistent with the non-segment firms suffering lower liquidity and the segment firms gaining liquidity after the merger.  We present diagnostic analyses in the </w:t>
      </w:r>
      <w:r w:rsidR="00701A2C">
        <w:rPr>
          <w:color w:val="000000"/>
        </w:rPr>
        <w:t xml:space="preserve">fifth </w:t>
      </w:r>
      <w:r>
        <w:rPr>
          <w:color w:val="000000"/>
        </w:rPr>
        <w:t>section of the paper on the effects of the decrease in liquidity for the non-segment firms, which was common during the early 2000s across European stock markets.</w:t>
      </w:r>
      <w:r w:rsidR="001450A3">
        <w:rPr>
          <w:rStyle w:val="FootnoteReference"/>
          <w:color w:val="000000"/>
        </w:rPr>
        <w:footnoteReference w:id="28"/>
      </w:r>
    </w:p>
    <w:p w:rsidR="00030204" w:rsidRDefault="00030204" w:rsidP="00030204">
      <w:pPr>
        <w:spacing w:line="480" w:lineRule="auto"/>
        <w:ind w:firstLine="432"/>
        <w:rPr>
          <w:color w:val="000000"/>
        </w:rPr>
      </w:pPr>
      <w:r>
        <w:rPr>
          <w:color w:val="000000"/>
        </w:rPr>
        <w:t xml:space="preserve">We conduct formal </w:t>
      </w:r>
      <w:r w:rsidR="00C06987">
        <w:rPr>
          <w:color w:val="000000"/>
        </w:rPr>
        <w:t xml:space="preserve">empirical analysis </w:t>
      </w:r>
      <w:r>
        <w:rPr>
          <w:color w:val="000000"/>
        </w:rPr>
        <w:t>by running the following regression:</w:t>
      </w:r>
    </w:p>
    <w:p w:rsidR="00AB2093" w:rsidRPr="00542B4F" w:rsidRDefault="00AB2093" w:rsidP="00AB2093">
      <w:pPr>
        <w:spacing w:line="360" w:lineRule="auto"/>
        <w:ind w:firstLine="432"/>
        <w:rPr>
          <w:color w:val="000000"/>
        </w:rPr>
      </w:pPr>
    </w:p>
    <w:p w:rsidR="00030204" w:rsidRDefault="00030204" w:rsidP="00030204">
      <w:pPr>
        <w:spacing w:line="480" w:lineRule="auto"/>
        <w:outlineLvl w:val="0"/>
      </w:pPr>
      <w:r>
        <w:rPr>
          <w:color w:val="000000"/>
        </w:rPr>
        <w:t xml:space="preserve">Liquidity Proxy = </w:t>
      </w:r>
      <w:r>
        <w:t>β</w:t>
      </w:r>
      <w:r w:rsidRPr="00B35E41">
        <w:rPr>
          <w:vertAlign w:val="subscript"/>
        </w:rPr>
        <w:t xml:space="preserve">0 </w:t>
      </w:r>
      <w:r>
        <w:t>+ β</w:t>
      </w:r>
      <w:r w:rsidRPr="00B35E41">
        <w:rPr>
          <w:vertAlign w:val="subscript"/>
        </w:rPr>
        <w:t>1</w:t>
      </w:r>
      <w:r>
        <w:t>*</w:t>
      </w:r>
      <w:r w:rsidRPr="00E9135F">
        <w:t>Segment</w:t>
      </w:r>
      <w:r>
        <w:t xml:space="preserve"> + β</w:t>
      </w:r>
      <w:r w:rsidRPr="00B35E41">
        <w:rPr>
          <w:vertAlign w:val="subscript"/>
        </w:rPr>
        <w:t>2</w:t>
      </w:r>
      <w:r>
        <w:t>*</w:t>
      </w:r>
      <w:r w:rsidRPr="00E9135F">
        <w:t>Post-Merger</w:t>
      </w:r>
      <w:r>
        <w:t xml:space="preserve"> + β</w:t>
      </w:r>
      <w:r w:rsidRPr="00B35E41">
        <w:rPr>
          <w:vertAlign w:val="subscript"/>
        </w:rPr>
        <w:t>3</w:t>
      </w:r>
      <w:r>
        <w:t>*</w:t>
      </w:r>
      <w:r w:rsidRPr="00E9135F">
        <w:t xml:space="preserve">Post-Merger*Segment </w:t>
      </w:r>
    </w:p>
    <w:p w:rsidR="00030204" w:rsidRDefault="00030204" w:rsidP="00030204">
      <w:pPr>
        <w:spacing w:line="480" w:lineRule="auto"/>
        <w:ind w:firstLine="720"/>
      </w:pPr>
      <w:r>
        <w:t xml:space="preserve">            </w:t>
      </w:r>
      <w:proofErr w:type="gramStart"/>
      <w:r>
        <w:t xml:space="preserve">+ </w:t>
      </w:r>
      <w:r w:rsidRPr="00D7107F">
        <w:t xml:space="preserve"> </w:t>
      </w:r>
      <w:r>
        <w:t>∑</w:t>
      </w:r>
      <w:proofErr w:type="gramEnd"/>
      <w:r>
        <w:t>β</w:t>
      </w:r>
      <w:proofErr w:type="spellStart"/>
      <w:r w:rsidRPr="00B35E41">
        <w:rPr>
          <w:vertAlign w:val="subscript"/>
        </w:rPr>
        <w:t>i</w:t>
      </w:r>
      <w:proofErr w:type="spellEnd"/>
      <w:r>
        <w:t>*</w:t>
      </w:r>
      <w:r w:rsidRPr="00D7107F">
        <w:t>Control Variables</w:t>
      </w:r>
      <w:r>
        <w:t xml:space="preserve"> + </w:t>
      </w:r>
      <w:r>
        <w:sym w:font="Symbol" w:char="F065"/>
      </w:r>
      <w:r w:rsidRPr="00940863">
        <w:rPr>
          <w:vertAlign w:val="subscript"/>
        </w:rPr>
        <w:t>it</w:t>
      </w:r>
      <w:r>
        <w:tab/>
      </w:r>
      <w:r>
        <w:tab/>
      </w:r>
      <w:r>
        <w:tab/>
        <w:t xml:space="preserve">                                                  (Eq. 1)</w:t>
      </w:r>
    </w:p>
    <w:p w:rsidR="00AB2093" w:rsidRDefault="00AB2093" w:rsidP="00AB2093">
      <w:pPr>
        <w:spacing w:line="360" w:lineRule="auto"/>
        <w:ind w:firstLine="720"/>
      </w:pPr>
    </w:p>
    <w:p w:rsidR="00AB2093" w:rsidRPr="00442E63" w:rsidRDefault="00030204" w:rsidP="006D0625">
      <w:pPr>
        <w:spacing w:line="480" w:lineRule="auto"/>
        <w:jc w:val="both"/>
      </w:pPr>
      <w:proofErr w:type="gramStart"/>
      <w:r>
        <w:t>where</w:t>
      </w:r>
      <w:proofErr w:type="gramEnd"/>
      <w:r>
        <w:t xml:space="preserve"> </w:t>
      </w:r>
      <w:r w:rsidRPr="00E9135F">
        <w:t>Segment</w:t>
      </w:r>
      <w:r>
        <w:t xml:space="preserve"> is an indicator variable for those firms that belong to the named segments of Euronext, and </w:t>
      </w:r>
      <w:r w:rsidRPr="00E9135F">
        <w:t>Post-Merger</w:t>
      </w:r>
      <w:r>
        <w:t xml:space="preserve"> is an indicator variable that equals one after the merger. </w:t>
      </w:r>
      <w:r w:rsidR="002E275A">
        <w:t xml:space="preserve">This is a difference-in-differences design in which changes in liquidity of the non-segment firms serve as a benchmark for </w:t>
      </w:r>
      <w:r w:rsidR="002E275A">
        <w:lastRenderedPageBreak/>
        <w:t>evaluating changes in liquidity of the segment firms.</w:t>
      </w:r>
      <w:r w:rsidR="00E51CC2">
        <w:rPr>
          <w:rStyle w:val="FootnoteReference"/>
        </w:rPr>
        <w:footnoteReference w:id="29"/>
      </w:r>
      <w:r w:rsidR="002E275A">
        <w:t xml:space="preserve">  This design controls for other country, time period, and exchange factors that influence liquidity for both the segment and non-segment firms.  </w:t>
      </w:r>
      <w:r w:rsidR="001450A3">
        <w:t xml:space="preserve">A test for significance of the coefficient on </w:t>
      </w:r>
      <w:r w:rsidR="001450A3" w:rsidRPr="00E9135F">
        <w:t>Post-Merger</w:t>
      </w:r>
      <w:r w:rsidR="001450A3">
        <w:rPr>
          <w:i/>
        </w:rPr>
        <w:t xml:space="preserve"> </w:t>
      </w:r>
      <w:r w:rsidR="001450A3">
        <w:t>(</w:t>
      </w:r>
      <w:r w:rsidR="00763E8B">
        <w:t>β</w:t>
      </w:r>
      <w:r w:rsidR="00763E8B">
        <w:rPr>
          <w:vertAlign w:val="subscript"/>
        </w:rPr>
        <w:t>2</w:t>
      </w:r>
      <w:r w:rsidR="001450A3">
        <w:t xml:space="preserve">) is a test of hypothesis H1 that liquidity increased for Euronext-listed firms after the merger, and a significance test on the </w:t>
      </w:r>
      <w:r>
        <w:t>coefficient on the interaction term (β</w:t>
      </w:r>
      <w:r w:rsidRPr="00432EF6">
        <w:rPr>
          <w:vertAlign w:val="subscript"/>
        </w:rPr>
        <w:t>3</w:t>
      </w:r>
      <w:r>
        <w:t xml:space="preserve">) </w:t>
      </w:r>
      <w:r w:rsidR="001450A3">
        <w:t>is a test of hypothesis H1A that liquidity increased for the segment firms relative to the non-segment firms after the merger, controlling for firm-specific characteristics</w:t>
      </w:r>
      <w:r>
        <w:rPr>
          <w:color w:val="000000"/>
        </w:rPr>
        <w:t xml:space="preserve">. </w:t>
      </w:r>
      <w:r>
        <w:t>The control variables include leverage, profitability, the number of foreign exchanges on which the firm is listed, sales growth, size, auditor, whether the firm reports using IFRS or US GAAP, whether the firm is listed in the U.S., and the variability of stock returns.</w:t>
      </w:r>
      <w:r w:rsidR="001A5A42">
        <w:rPr>
          <w:rStyle w:val="FootnoteReference"/>
        </w:rPr>
        <w:footnoteReference w:id="30"/>
      </w:r>
      <w:r>
        <w:t xml:space="preserve"> </w:t>
      </w:r>
      <w:r w:rsidR="002078F7">
        <w:t>We also include country and industry fixed effects and cluster the standard errors in the model by firm.</w:t>
      </w:r>
    </w:p>
    <w:p w:rsidR="00030204" w:rsidRPr="002E1CFC" w:rsidRDefault="0043265F" w:rsidP="00030204">
      <w:pPr>
        <w:spacing w:line="480" w:lineRule="auto"/>
        <w:outlineLvl w:val="0"/>
        <w:rPr>
          <w:b/>
          <w:color w:val="000000"/>
        </w:rPr>
      </w:pPr>
      <w:r>
        <w:rPr>
          <w:b/>
          <w:color w:val="000000"/>
        </w:rPr>
        <w:t>4</w:t>
      </w:r>
      <w:r w:rsidR="00030204">
        <w:rPr>
          <w:b/>
          <w:color w:val="000000"/>
        </w:rPr>
        <w:t>.2.2</w:t>
      </w:r>
      <w:r w:rsidR="00030204" w:rsidRPr="007337ED">
        <w:rPr>
          <w:b/>
          <w:color w:val="000000"/>
        </w:rPr>
        <w:t xml:space="preserve"> </w:t>
      </w:r>
      <w:r w:rsidR="00030204">
        <w:rPr>
          <w:b/>
        </w:rPr>
        <w:t>Empirical Results</w:t>
      </w:r>
    </w:p>
    <w:p w:rsidR="00030204" w:rsidRDefault="00030204" w:rsidP="00175265">
      <w:pPr>
        <w:spacing w:line="480" w:lineRule="auto"/>
        <w:ind w:firstLine="432"/>
        <w:jc w:val="both"/>
      </w:pPr>
      <w:r>
        <w:rPr>
          <w:color w:val="000000"/>
        </w:rPr>
        <w:t xml:space="preserve">Table 4 presents the results of estimating the regression </w:t>
      </w:r>
      <w:r w:rsidR="002E275A">
        <w:rPr>
          <w:color w:val="000000"/>
        </w:rPr>
        <w:t xml:space="preserve">in </w:t>
      </w:r>
      <w:r>
        <w:rPr>
          <w:color w:val="000000"/>
        </w:rPr>
        <w:t xml:space="preserve">Eq. </w:t>
      </w:r>
      <w:r w:rsidR="00E9135F">
        <w:rPr>
          <w:color w:val="000000"/>
        </w:rPr>
        <w:t>(</w:t>
      </w:r>
      <w:r>
        <w:rPr>
          <w:color w:val="000000"/>
        </w:rPr>
        <w:t>1</w:t>
      </w:r>
      <w:r w:rsidR="00E9135F">
        <w:rPr>
          <w:color w:val="000000"/>
        </w:rPr>
        <w:t>)</w:t>
      </w:r>
      <w:r>
        <w:rPr>
          <w:color w:val="000000"/>
        </w:rPr>
        <w:t xml:space="preserve">. </w:t>
      </w:r>
      <w:r>
        <w:t xml:space="preserve">The dependent variable in </w:t>
      </w:r>
      <w:r w:rsidR="002E275A">
        <w:t>columns (1) through (3)</w:t>
      </w:r>
      <w:r>
        <w:t xml:space="preserve"> is the annual percentage of non</w:t>
      </w:r>
      <w:r w:rsidR="00431CD7">
        <w:t>-</w:t>
      </w:r>
      <w:r>
        <w:t>trading days (</w:t>
      </w:r>
      <w:proofErr w:type="spellStart"/>
      <w:r>
        <w:t>perc_zeroret</w:t>
      </w:r>
      <w:proofErr w:type="spellEnd"/>
      <w:r>
        <w:t xml:space="preserve">), and the dependent variable in </w:t>
      </w:r>
      <w:r w:rsidR="002E275A">
        <w:t>columns (4) through (6)</w:t>
      </w:r>
      <w:r>
        <w:t xml:space="preserve"> is the natural log of the mean bid-ask spread (</w:t>
      </w:r>
      <w:proofErr w:type="spellStart"/>
      <w:r>
        <w:t>log_mn_bidask</w:t>
      </w:r>
      <w:proofErr w:type="spellEnd"/>
      <w:r>
        <w:t>).</w:t>
      </w:r>
      <w:r w:rsidR="00C54C2E">
        <w:rPr>
          <w:rStyle w:val="FootnoteReference"/>
        </w:rPr>
        <w:footnoteReference w:id="31"/>
      </w:r>
      <w:r>
        <w:t xml:space="preserve">  Because the</w:t>
      </w:r>
      <w:r w:rsidR="002E275A">
        <w:t xml:space="preserve"> results are similar across the </w:t>
      </w:r>
      <w:r>
        <w:t>regressions with and without control variables, we focus our discussion on column</w:t>
      </w:r>
      <w:r w:rsidR="002E275A">
        <w:t>s</w:t>
      </w:r>
      <w:r>
        <w:t xml:space="preserve"> </w:t>
      </w:r>
      <w:r w:rsidR="002E275A">
        <w:t>(</w:t>
      </w:r>
      <w:r>
        <w:t>2</w:t>
      </w:r>
      <w:r w:rsidR="002E275A">
        <w:t>) and (5)</w:t>
      </w:r>
      <w:r>
        <w:t>, which include control variables.</w:t>
      </w:r>
    </w:p>
    <w:p w:rsidR="00030204" w:rsidRDefault="00030204" w:rsidP="001A0E5D">
      <w:pPr>
        <w:spacing w:line="480" w:lineRule="auto"/>
        <w:ind w:firstLine="432"/>
        <w:jc w:val="center"/>
      </w:pPr>
      <w:r>
        <w:t xml:space="preserve">[Insert Table 4 </w:t>
      </w:r>
      <w:proofErr w:type="gramStart"/>
      <w:r>
        <w:t>About</w:t>
      </w:r>
      <w:proofErr w:type="gramEnd"/>
      <w:r>
        <w:t xml:space="preserve"> Here]</w:t>
      </w:r>
    </w:p>
    <w:p w:rsidR="00030204" w:rsidRDefault="00030204" w:rsidP="00175265">
      <w:pPr>
        <w:spacing w:line="480" w:lineRule="auto"/>
        <w:ind w:firstLine="432"/>
        <w:jc w:val="both"/>
      </w:pPr>
      <w:r>
        <w:lastRenderedPageBreak/>
        <w:t xml:space="preserve">In </w:t>
      </w:r>
      <w:r w:rsidR="002E275A">
        <w:t>column (2)</w:t>
      </w:r>
      <w:r>
        <w:t xml:space="preserve">, the percentage of non-trading days increased from pre- to post-merger on average across the sample (the </w:t>
      </w:r>
      <w:r w:rsidRPr="00E9135F">
        <w:t>Post-Merger</w:t>
      </w:r>
      <w:r>
        <w:t xml:space="preserve"> coefficient is positive and significant)</w:t>
      </w:r>
      <w:r w:rsidR="002E275A">
        <w:t>.  This result is inconsistent with hypothesis H1 on the effects of the integration of the trading platform on Euronext-listed firms' liquidity.  P</w:t>
      </w:r>
      <w:r>
        <w:t>rior to the merger the firms that eventually listed on the segments had fewer non</w:t>
      </w:r>
      <w:r w:rsidR="00C1222F">
        <w:t>-</w:t>
      </w:r>
      <w:r>
        <w:t xml:space="preserve">trading days than the rest of the sample (the </w:t>
      </w:r>
      <w:r w:rsidRPr="00E9135F">
        <w:t>Segment</w:t>
      </w:r>
      <w:r>
        <w:t xml:space="preserve"> coefficient is negative and significant)</w:t>
      </w:r>
      <w:r w:rsidR="002E275A">
        <w:t>, and</w:t>
      </w:r>
      <w:r>
        <w:t xml:space="preserve"> firms that chose to list on the named segments had significantly fewer days with no trading than the rest of the sample after the formation of Euronext (the coefficient on the interaction term of </w:t>
      </w:r>
      <w:r w:rsidRPr="00E9135F">
        <w:t>Post-Merger</w:t>
      </w:r>
      <w:r>
        <w:t xml:space="preserve"> and </w:t>
      </w:r>
      <w:r w:rsidRPr="00E9135F">
        <w:t>Segment</w:t>
      </w:r>
      <w:r>
        <w:t xml:space="preserve"> is significant and negative). Th</w:t>
      </w:r>
      <w:r w:rsidR="002E275A">
        <w:t>is</w:t>
      </w:r>
      <w:r>
        <w:t xml:space="preserve"> result </w:t>
      </w:r>
      <w:r w:rsidR="002E275A">
        <w:t>is</w:t>
      </w:r>
      <w:r>
        <w:t xml:space="preserve"> consistent with hypothesis</w:t>
      </w:r>
      <w:r w:rsidR="002E275A">
        <w:t xml:space="preserve"> H1A, that joining the named segments was associated with higher liquidity after the merger relative to the non-segment firms</w:t>
      </w:r>
      <w:r>
        <w:t>. Liquidity (represented by the percentage of trading days with zero returns) is higher for less leveraged, more profitable, and larger firms, and firms with faster growth and global auditors, using IFRS or US GAAP, and with more volatile returns. The adjusted R</w:t>
      </w:r>
      <w:r w:rsidRPr="005C2E57">
        <w:rPr>
          <w:vertAlign w:val="superscript"/>
        </w:rPr>
        <w:t>2</w:t>
      </w:r>
      <w:r>
        <w:t xml:space="preserve"> of the regression including control variables is 49%.</w:t>
      </w:r>
    </w:p>
    <w:p w:rsidR="00030204" w:rsidRDefault="00030204" w:rsidP="00175265">
      <w:pPr>
        <w:spacing w:line="480" w:lineRule="auto"/>
        <w:ind w:firstLine="432"/>
        <w:jc w:val="both"/>
      </w:pPr>
      <w:r>
        <w:t xml:space="preserve">The results in column </w:t>
      </w:r>
      <w:r w:rsidR="00B55A2D">
        <w:t>(</w:t>
      </w:r>
      <w:r w:rsidR="002E275A">
        <w:t>5</w:t>
      </w:r>
      <w:r w:rsidR="00B55A2D">
        <w:t>)</w:t>
      </w:r>
      <w:r>
        <w:t xml:space="preserve"> with </w:t>
      </w:r>
      <w:r w:rsidR="00C54C2E">
        <w:t xml:space="preserve">the logarithm of </w:t>
      </w:r>
      <w:r>
        <w:t xml:space="preserve">mean bid-ask spread as a proxy for liquidity are similar to those using percentage of non-trading days as the liquidity proxy. The coefficient on </w:t>
      </w:r>
      <w:r w:rsidRPr="00E9135F">
        <w:t>Post-Merger</w:t>
      </w:r>
      <w:r>
        <w:t xml:space="preserve"> is </w:t>
      </w:r>
      <w:r w:rsidR="002E275A">
        <w:t>not</w:t>
      </w:r>
      <w:r>
        <w:t xml:space="preserve"> significant, meaning that liquidity d</w:t>
      </w:r>
      <w:r w:rsidR="00763079">
        <w:t>id not increase</w:t>
      </w:r>
      <w:r>
        <w:t xml:space="preserve"> on average across the sample, </w:t>
      </w:r>
      <w:r w:rsidR="002E275A">
        <w:t xml:space="preserve">inconsistent with hypothesis H1. </w:t>
      </w:r>
      <w:r w:rsidR="00763079">
        <w:t xml:space="preserve">The coefficient on </w:t>
      </w:r>
      <w:r w:rsidR="00763079" w:rsidRPr="00E9135F">
        <w:t xml:space="preserve">Segment </w:t>
      </w:r>
      <w:r w:rsidR="00763079">
        <w:t xml:space="preserve">is again negative and significant.  </w:t>
      </w:r>
      <w:r w:rsidR="002E275A" w:rsidRPr="00763079">
        <w:t>Co</w:t>
      </w:r>
      <w:r w:rsidRPr="00763079">
        <w:t>nsistent</w:t>
      </w:r>
      <w:r>
        <w:t xml:space="preserve"> with hypothesis</w:t>
      </w:r>
      <w:r w:rsidR="002E275A">
        <w:t xml:space="preserve"> H1A</w:t>
      </w:r>
      <w:r>
        <w:t xml:space="preserve">, the coefficient on the interaction term of </w:t>
      </w:r>
      <w:r w:rsidRPr="00E9135F">
        <w:t xml:space="preserve">Post-Merger </w:t>
      </w:r>
      <w:r>
        <w:t xml:space="preserve">and </w:t>
      </w:r>
      <w:r w:rsidRPr="00E9135F">
        <w:t>Segment</w:t>
      </w:r>
      <w:r>
        <w:t xml:space="preserve"> is negative and </w:t>
      </w:r>
      <w:r w:rsidR="00763079">
        <w:t xml:space="preserve">marginally </w:t>
      </w:r>
      <w:r>
        <w:t xml:space="preserve">significant, meaning that the segment firms gained </w:t>
      </w:r>
      <w:r w:rsidR="00AE40A3">
        <w:t xml:space="preserve">more </w:t>
      </w:r>
      <w:r>
        <w:t xml:space="preserve">liquidity after the merger than did the non-segment firms. The coefficients on several control variables (leverage, profitability, size, global auditor, and use of global GAAP) are significant and broadly consistent with the results in </w:t>
      </w:r>
      <w:r w:rsidR="00AE40A3">
        <w:t xml:space="preserve">column (2), </w:t>
      </w:r>
      <w:r w:rsidR="00C54C2E">
        <w:t xml:space="preserve">except that we also find that </w:t>
      </w:r>
      <w:r w:rsidR="00AE40A3">
        <w:t>being listed on a U.S. exchange is significantly associated with higher liquidity</w:t>
      </w:r>
      <w:r>
        <w:t>. The adjusted R</w:t>
      </w:r>
      <w:r w:rsidRPr="005C2E57">
        <w:rPr>
          <w:vertAlign w:val="superscript"/>
        </w:rPr>
        <w:t>2</w:t>
      </w:r>
      <w:r>
        <w:t xml:space="preserve"> </w:t>
      </w:r>
      <w:r w:rsidR="00AE40A3">
        <w:t>in column (5)</w:t>
      </w:r>
      <w:r>
        <w:t xml:space="preserve"> is 64%.</w:t>
      </w:r>
    </w:p>
    <w:p w:rsidR="00030204" w:rsidRDefault="00030204" w:rsidP="00030204">
      <w:pPr>
        <w:spacing w:line="480" w:lineRule="auto"/>
        <w:ind w:firstLine="720"/>
        <w:jc w:val="both"/>
        <w:rPr>
          <w:color w:val="000000"/>
        </w:rPr>
      </w:pPr>
      <w:r>
        <w:rPr>
          <w:color w:val="000000"/>
        </w:rPr>
        <w:lastRenderedPageBreak/>
        <w:t xml:space="preserve">Finally, </w:t>
      </w:r>
      <w:r>
        <w:t>column</w:t>
      </w:r>
      <w:r w:rsidR="00AE40A3">
        <w:t xml:space="preserve">s (3) and (6) of table 4 </w:t>
      </w:r>
      <w:r>
        <w:rPr>
          <w:color w:val="000000"/>
        </w:rPr>
        <w:t>include an additional variable to measure the effect</w:t>
      </w:r>
      <w:r w:rsidR="00AE40A3">
        <w:rPr>
          <w:color w:val="000000"/>
        </w:rPr>
        <w:t xml:space="preserve"> on liquidity when a firm ceased</w:t>
      </w:r>
      <w:r>
        <w:rPr>
          <w:color w:val="000000"/>
        </w:rPr>
        <w:t xml:space="preserve"> to be listed on one of the segments but continue</w:t>
      </w:r>
      <w:r w:rsidR="00763079">
        <w:rPr>
          <w:color w:val="000000"/>
        </w:rPr>
        <w:t>d</w:t>
      </w:r>
      <w:r>
        <w:rPr>
          <w:color w:val="000000"/>
        </w:rPr>
        <w:t xml:space="preserve"> to be listed on Euronext in the post-merger period, or conversely when a firm bec</w:t>
      </w:r>
      <w:r w:rsidR="00B55A2D">
        <w:rPr>
          <w:color w:val="000000"/>
        </w:rPr>
        <w:t>a</w:t>
      </w:r>
      <w:r>
        <w:rPr>
          <w:color w:val="000000"/>
        </w:rPr>
        <w:t xml:space="preserve">me listed on one of the segments after </w:t>
      </w:r>
      <w:r w:rsidR="008168AF">
        <w:rPr>
          <w:color w:val="000000"/>
        </w:rPr>
        <w:t xml:space="preserve">initially </w:t>
      </w:r>
      <w:r>
        <w:rPr>
          <w:color w:val="000000"/>
        </w:rPr>
        <w:t xml:space="preserve">being a non-segment firm listed on Euronext post-merger. </w:t>
      </w:r>
      <w:proofErr w:type="spellStart"/>
      <w:proofErr w:type="gramStart"/>
      <w:r w:rsidR="00AE40A3" w:rsidRPr="00C54C2E">
        <w:rPr>
          <w:i/>
          <w:color w:val="000000"/>
        </w:rPr>
        <w:t>afterdrop_beforeadd</w:t>
      </w:r>
      <w:proofErr w:type="spellEnd"/>
      <w:proofErr w:type="gramEnd"/>
      <w:r>
        <w:rPr>
          <w:color w:val="000000"/>
        </w:rPr>
        <w:t xml:space="preserve"> is an indicator variable that takes the value of one after firms are dropped from a segment or before firms are added to a segment, all during the post-merger period.</w:t>
      </w:r>
      <w:r>
        <w:rPr>
          <w:rStyle w:val="FootnoteReference"/>
          <w:color w:val="000000"/>
        </w:rPr>
        <w:footnoteReference w:id="32"/>
      </w:r>
      <w:r>
        <w:rPr>
          <w:color w:val="000000"/>
        </w:rPr>
        <w:t xml:space="preserve"> If the improvements in liquidity for the segment firms were </w:t>
      </w:r>
      <w:r w:rsidR="00AE40A3">
        <w:rPr>
          <w:color w:val="000000"/>
        </w:rPr>
        <w:t xml:space="preserve">primarily </w:t>
      </w:r>
      <w:r>
        <w:rPr>
          <w:color w:val="000000"/>
        </w:rPr>
        <w:t xml:space="preserve">driven by their commitments to abide by the segment rules </w:t>
      </w:r>
      <w:r w:rsidR="00C54C2E">
        <w:rPr>
          <w:color w:val="000000"/>
        </w:rPr>
        <w:t>and/</w:t>
      </w:r>
      <w:r w:rsidR="00AE40A3">
        <w:rPr>
          <w:color w:val="000000"/>
        </w:rPr>
        <w:t>or</w:t>
      </w:r>
      <w:r>
        <w:rPr>
          <w:color w:val="000000"/>
        </w:rPr>
        <w:t xml:space="preserve"> by the increased visibility provided by the exchange for segment firms, </w:t>
      </w:r>
      <w:r w:rsidR="00AE40A3">
        <w:rPr>
          <w:color w:val="000000"/>
        </w:rPr>
        <w:t>and not</w:t>
      </w:r>
      <w:r>
        <w:rPr>
          <w:color w:val="000000"/>
        </w:rPr>
        <w:t xml:space="preserve"> by firm characteristics, we should observe increases in liquidity when non-segment firms subsequently join a segment, and decreases in liquidity when segment firms are dropped from the segments. Therefore, we expect an increase in non-trading days and an increase in bid-ask spreads associated with the period before a firm joins or after a firm is dropped from the segment. Consistent with those expectations, we find a positive coefficient on </w:t>
      </w:r>
      <w:proofErr w:type="spellStart"/>
      <w:r w:rsidR="00AE40A3" w:rsidRPr="00C54C2E">
        <w:rPr>
          <w:i/>
          <w:color w:val="000000"/>
        </w:rPr>
        <w:t>afterd</w:t>
      </w:r>
      <w:r w:rsidRPr="00C54C2E">
        <w:rPr>
          <w:i/>
          <w:color w:val="000000"/>
        </w:rPr>
        <w:t>rop</w:t>
      </w:r>
      <w:r w:rsidR="00AE40A3" w:rsidRPr="00C54C2E">
        <w:rPr>
          <w:i/>
          <w:color w:val="000000"/>
        </w:rPr>
        <w:t>_beforeadd</w:t>
      </w:r>
      <w:proofErr w:type="spellEnd"/>
      <w:r w:rsidR="00AE40A3" w:rsidRPr="00E9135F">
        <w:rPr>
          <w:color w:val="000000"/>
        </w:rPr>
        <w:t xml:space="preserve"> </w:t>
      </w:r>
      <w:r>
        <w:rPr>
          <w:color w:val="000000"/>
        </w:rPr>
        <w:t xml:space="preserve">based on regressions with either non-trading days or mean bid-ask spreads, but the coefficient is not significant in the </w:t>
      </w:r>
      <w:r w:rsidR="00C54C2E">
        <w:rPr>
          <w:color w:val="000000"/>
        </w:rPr>
        <w:t xml:space="preserve">logarithm of </w:t>
      </w:r>
      <w:r>
        <w:rPr>
          <w:color w:val="000000"/>
        </w:rPr>
        <w:t xml:space="preserve">mean bid-ask spread regression.  In untabulated results, we support the same inference if the indicator variable takes a value of one only for the dropped firms.  </w:t>
      </w:r>
    </w:p>
    <w:p w:rsidR="00030204" w:rsidRDefault="00030204" w:rsidP="00030204">
      <w:pPr>
        <w:spacing w:line="480" w:lineRule="auto"/>
        <w:ind w:firstLine="720"/>
        <w:jc w:val="both"/>
        <w:rPr>
          <w:color w:val="000000"/>
        </w:rPr>
      </w:pPr>
      <w:r>
        <w:rPr>
          <w:color w:val="000000"/>
        </w:rPr>
        <w:t xml:space="preserve">Although it is troubling that liquidity decreased for the Euronext firms from pre- to post-merger, we believe </w:t>
      </w:r>
      <w:r w:rsidR="00C54C2E">
        <w:rPr>
          <w:color w:val="000000"/>
        </w:rPr>
        <w:t xml:space="preserve">that </w:t>
      </w:r>
      <w:r>
        <w:rPr>
          <w:color w:val="000000"/>
        </w:rPr>
        <w:t xml:space="preserve">this drop in liquidity reflects the overall decrease in liquidity in European markets from 2000 to 2004 (see </w:t>
      </w:r>
      <w:proofErr w:type="spellStart"/>
      <w:r>
        <w:rPr>
          <w:color w:val="000000"/>
        </w:rPr>
        <w:t>Vagias</w:t>
      </w:r>
      <w:proofErr w:type="spellEnd"/>
      <w:r>
        <w:rPr>
          <w:color w:val="000000"/>
        </w:rPr>
        <w:t xml:space="preserve"> and van </w:t>
      </w:r>
      <w:proofErr w:type="spellStart"/>
      <w:r>
        <w:rPr>
          <w:color w:val="000000"/>
        </w:rPr>
        <w:t>Dijk</w:t>
      </w:r>
      <w:proofErr w:type="spellEnd"/>
      <w:r>
        <w:rPr>
          <w:color w:val="000000"/>
        </w:rPr>
        <w:t xml:space="preserve"> </w:t>
      </w:r>
      <w:r w:rsidR="00AB27B6">
        <w:rPr>
          <w:color w:val="000000"/>
        </w:rPr>
        <w:t>2012</w:t>
      </w:r>
      <w:r>
        <w:rPr>
          <w:color w:val="000000"/>
        </w:rPr>
        <w:t xml:space="preserve">, especially figure 3). We speculate that this pronounced spell of illiquidity may have been the result of an economic recovery which was much slower in Europe than in the rest of the world (see Rhoads 2002).  Under the circumstances, the use of non-segment firms </w:t>
      </w:r>
      <w:r>
        <w:rPr>
          <w:color w:val="000000"/>
        </w:rPr>
        <w:lastRenderedPageBreak/>
        <w:t xml:space="preserve">from the same jurisdictions as the segment firms is an important control for secular trends in liquidity.  See section </w:t>
      </w:r>
      <w:r w:rsidR="00C54C2E">
        <w:rPr>
          <w:color w:val="000000"/>
        </w:rPr>
        <w:t>5</w:t>
      </w:r>
      <w:r>
        <w:rPr>
          <w:color w:val="000000"/>
        </w:rPr>
        <w:t xml:space="preserve"> for sensitivity analyses using different benchmarks for secular trends in liquidity.</w:t>
      </w:r>
    </w:p>
    <w:p w:rsidR="001D58A9" w:rsidRDefault="0043265F" w:rsidP="001D58A9">
      <w:pPr>
        <w:spacing w:line="480" w:lineRule="auto"/>
        <w:jc w:val="both"/>
        <w:rPr>
          <w:b/>
          <w:color w:val="000000"/>
        </w:rPr>
      </w:pPr>
      <w:r>
        <w:rPr>
          <w:b/>
          <w:color w:val="000000"/>
        </w:rPr>
        <w:t>4</w:t>
      </w:r>
      <w:r w:rsidR="001D58A9" w:rsidRPr="001D58A9">
        <w:rPr>
          <w:b/>
          <w:color w:val="000000"/>
        </w:rPr>
        <w:t>.2.3 Liquidity Changes and Compliance with Segment Requirements</w:t>
      </w:r>
    </w:p>
    <w:p w:rsidR="004F380E" w:rsidRPr="004F380E" w:rsidRDefault="004F380E" w:rsidP="00175265">
      <w:pPr>
        <w:spacing w:line="480" w:lineRule="auto"/>
        <w:jc w:val="both"/>
        <w:rPr>
          <w:color w:val="000000"/>
        </w:rPr>
      </w:pPr>
      <w:r>
        <w:rPr>
          <w:color w:val="000000"/>
        </w:rPr>
        <w:tab/>
        <w:t xml:space="preserve">Table 5 shows the results of tests of hypothesis H1B that liquidity increased at the time of the merger for </w:t>
      </w:r>
      <w:r w:rsidR="00535FFB">
        <w:rPr>
          <w:color w:val="000000"/>
        </w:rPr>
        <w:t>high-compliance</w:t>
      </w:r>
      <w:r w:rsidR="00B72955">
        <w:rPr>
          <w:color w:val="000000"/>
        </w:rPr>
        <w:t xml:space="preserve"> </w:t>
      </w:r>
      <w:r>
        <w:rPr>
          <w:color w:val="000000"/>
        </w:rPr>
        <w:t>segment firms.  For table 5, we estimated the liquidity regressions on only the segment firms using a difference-in-differences design to c</w:t>
      </w:r>
      <w:r w:rsidR="00714358">
        <w:rPr>
          <w:color w:val="000000"/>
        </w:rPr>
        <w:t>o</w:t>
      </w:r>
      <w:r>
        <w:rPr>
          <w:color w:val="000000"/>
        </w:rPr>
        <w:t xml:space="preserve">mpare </w:t>
      </w:r>
      <w:r w:rsidR="00535FFB">
        <w:rPr>
          <w:color w:val="000000"/>
        </w:rPr>
        <w:t>high-compliance</w:t>
      </w:r>
      <w:r w:rsidR="00B72955">
        <w:rPr>
          <w:color w:val="000000"/>
        </w:rPr>
        <w:t xml:space="preserve"> </w:t>
      </w:r>
      <w:r>
        <w:rPr>
          <w:color w:val="000000"/>
        </w:rPr>
        <w:t xml:space="preserve">firms to </w:t>
      </w:r>
      <w:r w:rsidR="00535FFB">
        <w:rPr>
          <w:color w:val="000000"/>
        </w:rPr>
        <w:t>low-compliance</w:t>
      </w:r>
      <w:r w:rsidR="00B72955">
        <w:rPr>
          <w:color w:val="000000"/>
        </w:rPr>
        <w:t xml:space="preserve"> </w:t>
      </w:r>
      <w:r>
        <w:rPr>
          <w:color w:val="000000"/>
        </w:rPr>
        <w:t>firms</w:t>
      </w:r>
      <w:r w:rsidR="00B72955">
        <w:rPr>
          <w:color w:val="000000"/>
        </w:rPr>
        <w:t xml:space="preserve"> (based on Compl4 </w:t>
      </w:r>
      <w:r w:rsidR="002078F7">
        <w:rPr>
          <w:color w:val="000000"/>
        </w:rPr>
        <w:t xml:space="preserve">and Compl5 </w:t>
      </w:r>
      <w:r w:rsidR="00B72955">
        <w:rPr>
          <w:color w:val="000000"/>
        </w:rPr>
        <w:t xml:space="preserve">as outlined in section 2.3).  </w:t>
      </w:r>
      <w:r>
        <w:rPr>
          <w:color w:val="000000"/>
        </w:rPr>
        <w:t>The difference</w:t>
      </w:r>
      <w:r w:rsidR="00714358">
        <w:rPr>
          <w:color w:val="000000"/>
        </w:rPr>
        <w:t>-</w:t>
      </w:r>
      <w:r>
        <w:rPr>
          <w:color w:val="000000"/>
        </w:rPr>
        <w:t>in</w:t>
      </w:r>
      <w:r w:rsidR="00714358">
        <w:rPr>
          <w:color w:val="000000"/>
        </w:rPr>
        <w:t>-</w:t>
      </w:r>
      <w:r>
        <w:rPr>
          <w:color w:val="000000"/>
        </w:rPr>
        <w:t xml:space="preserve">differences design allows us to control for Euronext's promotional activities on behalf of the segment firms, as well as the market's evaluation of the ability of Euronext to monitor and enforce the </w:t>
      </w:r>
      <w:r w:rsidR="00714358">
        <w:rPr>
          <w:color w:val="000000"/>
        </w:rPr>
        <w:t xml:space="preserve">provisions of the </w:t>
      </w:r>
      <w:r>
        <w:rPr>
          <w:color w:val="000000"/>
        </w:rPr>
        <w:t xml:space="preserve">Commitment Agreements, while focusing on firms' </w:t>
      </w:r>
      <w:r w:rsidR="005E6CEB">
        <w:rPr>
          <w:color w:val="000000"/>
        </w:rPr>
        <w:t xml:space="preserve">efforts to comply with their Commitment Agreements.  Columns (1) and (4) report on regression specifications using </w:t>
      </w:r>
      <w:proofErr w:type="spellStart"/>
      <w:r w:rsidR="005E6CEB">
        <w:rPr>
          <w:color w:val="000000"/>
        </w:rPr>
        <w:t>perc_zeroret</w:t>
      </w:r>
      <w:proofErr w:type="spellEnd"/>
      <w:r w:rsidR="005E6CEB">
        <w:rPr>
          <w:color w:val="000000"/>
        </w:rPr>
        <w:t xml:space="preserve"> and </w:t>
      </w:r>
      <w:proofErr w:type="spellStart"/>
      <w:r w:rsidR="005E6CEB">
        <w:rPr>
          <w:color w:val="000000"/>
        </w:rPr>
        <w:t>log</w:t>
      </w:r>
      <w:r w:rsidR="008168AF">
        <w:rPr>
          <w:color w:val="000000"/>
        </w:rPr>
        <w:t>_</w:t>
      </w:r>
      <w:r w:rsidR="005E6CEB">
        <w:rPr>
          <w:color w:val="000000"/>
        </w:rPr>
        <w:t>mn_bidask</w:t>
      </w:r>
      <w:proofErr w:type="spellEnd"/>
      <w:r w:rsidR="005E6CEB">
        <w:rPr>
          <w:color w:val="000000"/>
        </w:rPr>
        <w:t xml:space="preserve">, respectively, as the dependent variable, with Post-Merger, Compl5, an interaction between Post-Merger and Compl5, and control variables.  Columns (2) and (5) contain results from estimating regressions of </w:t>
      </w:r>
      <w:proofErr w:type="spellStart"/>
      <w:r w:rsidR="005E6CEB">
        <w:rPr>
          <w:color w:val="000000"/>
        </w:rPr>
        <w:t>perc_zeroret</w:t>
      </w:r>
      <w:proofErr w:type="spellEnd"/>
      <w:r w:rsidR="005E6CEB">
        <w:rPr>
          <w:color w:val="000000"/>
        </w:rPr>
        <w:t xml:space="preserve"> and </w:t>
      </w:r>
      <w:proofErr w:type="spellStart"/>
      <w:r w:rsidR="002078F7">
        <w:rPr>
          <w:color w:val="000000"/>
        </w:rPr>
        <w:t>log_</w:t>
      </w:r>
      <w:r w:rsidR="005E6CEB">
        <w:rPr>
          <w:color w:val="000000"/>
        </w:rPr>
        <w:t>mn_bidask</w:t>
      </w:r>
      <w:proofErr w:type="spellEnd"/>
      <w:r w:rsidR="005E6CEB">
        <w:rPr>
          <w:color w:val="000000"/>
        </w:rPr>
        <w:t>, respectively, on Post-Merger, Compl4, the indicator variable for quarterly reporting alone (</w:t>
      </w:r>
      <w:proofErr w:type="spellStart"/>
      <w:r w:rsidR="005E6CEB">
        <w:rPr>
          <w:color w:val="000000"/>
        </w:rPr>
        <w:t>Qtrly</w:t>
      </w:r>
      <w:proofErr w:type="spellEnd"/>
      <w:r w:rsidR="005E6CEB">
        <w:rPr>
          <w:color w:val="000000"/>
        </w:rPr>
        <w:t xml:space="preserve">), an interaction between Post-Merger and Compl4, an interaction between Post-Merger and </w:t>
      </w:r>
      <w:proofErr w:type="spellStart"/>
      <w:r w:rsidR="005E6CEB">
        <w:rPr>
          <w:color w:val="000000"/>
        </w:rPr>
        <w:t>Qtrly</w:t>
      </w:r>
      <w:proofErr w:type="spellEnd"/>
      <w:r w:rsidR="005E6CEB">
        <w:rPr>
          <w:color w:val="000000"/>
        </w:rPr>
        <w:t xml:space="preserve">, and control variables.  Columns (3) and (6) report on results of estimating regressions of </w:t>
      </w:r>
      <w:proofErr w:type="spellStart"/>
      <w:r w:rsidR="005E6CEB">
        <w:rPr>
          <w:color w:val="000000"/>
        </w:rPr>
        <w:t>perc_zeroret</w:t>
      </w:r>
      <w:proofErr w:type="spellEnd"/>
      <w:r w:rsidR="005E6CEB">
        <w:rPr>
          <w:color w:val="000000"/>
        </w:rPr>
        <w:t xml:space="preserve"> and </w:t>
      </w:r>
      <w:proofErr w:type="spellStart"/>
      <w:r w:rsidR="002078F7">
        <w:rPr>
          <w:color w:val="000000"/>
        </w:rPr>
        <w:t>log_</w:t>
      </w:r>
      <w:r w:rsidR="005E6CEB">
        <w:rPr>
          <w:color w:val="000000"/>
        </w:rPr>
        <w:t>mn_bidask</w:t>
      </w:r>
      <w:proofErr w:type="spellEnd"/>
      <w:r w:rsidR="005E6CEB">
        <w:rPr>
          <w:color w:val="000000"/>
        </w:rPr>
        <w:t xml:space="preserve">, respectively, on </w:t>
      </w:r>
      <w:r w:rsidR="00D21414">
        <w:rPr>
          <w:color w:val="000000"/>
        </w:rPr>
        <w:t xml:space="preserve">Post-Merger, </w:t>
      </w:r>
      <w:r w:rsidR="00B55A2D">
        <w:rPr>
          <w:color w:val="000000"/>
        </w:rPr>
        <w:t xml:space="preserve">indicator variables for at or above the median of </w:t>
      </w:r>
      <w:r w:rsidR="005E6CEB">
        <w:rPr>
          <w:color w:val="000000"/>
        </w:rPr>
        <w:t xml:space="preserve">each of the five financial reporting variables </w:t>
      </w:r>
      <w:r w:rsidR="00B55A2D">
        <w:rPr>
          <w:color w:val="000000"/>
        </w:rPr>
        <w:t xml:space="preserve">comprising Compl5 </w:t>
      </w:r>
      <w:r w:rsidR="005E6CEB">
        <w:rPr>
          <w:color w:val="000000"/>
        </w:rPr>
        <w:t xml:space="preserve">separately (quarterly reporting, global GAAP, global auditor, English, and website), interactions between Post-Merger and each of the five reporting variables, and control variables.  </w:t>
      </w:r>
    </w:p>
    <w:p w:rsidR="001D58A9" w:rsidRDefault="001D58A9" w:rsidP="001A0E5D">
      <w:pPr>
        <w:spacing w:line="480" w:lineRule="auto"/>
        <w:jc w:val="center"/>
        <w:rPr>
          <w:color w:val="000000"/>
        </w:rPr>
      </w:pPr>
      <w:r>
        <w:rPr>
          <w:color w:val="000000"/>
        </w:rPr>
        <w:t xml:space="preserve">[Insert Table 5 </w:t>
      </w:r>
      <w:proofErr w:type="gramStart"/>
      <w:r>
        <w:rPr>
          <w:color w:val="000000"/>
        </w:rPr>
        <w:t>About</w:t>
      </w:r>
      <w:proofErr w:type="gramEnd"/>
      <w:r>
        <w:rPr>
          <w:color w:val="000000"/>
        </w:rPr>
        <w:t xml:space="preserve"> Here]</w:t>
      </w:r>
    </w:p>
    <w:p w:rsidR="00714358" w:rsidRDefault="00714358" w:rsidP="00175265">
      <w:pPr>
        <w:spacing w:line="480" w:lineRule="auto"/>
        <w:jc w:val="both"/>
        <w:rPr>
          <w:color w:val="000000"/>
        </w:rPr>
      </w:pPr>
      <w:r>
        <w:rPr>
          <w:color w:val="000000"/>
        </w:rPr>
        <w:tab/>
        <w:t xml:space="preserve">Table 5 presents evidence that </w:t>
      </w:r>
      <w:r w:rsidR="00B72955">
        <w:rPr>
          <w:color w:val="000000"/>
        </w:rPr>
        <w:t xml:space="preserve">nonzero </w:t>
      </w:r>
      <w:r>
        <w:rPr>
          <w:color w:val="000000"/>
        </w:rPr>
        <w:t xml:space="preserve">values of both Compl4 and Compl5 (as well as use of English and functioning website individually) are associated with </w:t>
      </w:r>
      <w:r w:rsidR="00836BA3">
        <w:rPr>
          <w:color w:val="000000"/>
        </w:rPr>
        <w:t xml:space="preserve">increases </w:t>
      </w:r>
      <w:r>
        <w:rPr>
          <w:color w:val="000000"/>
        </w:rPr>
        <w:t xml:space="preserve">in </w:t>
      </w:r>
      <w:r w:rsidR="00836BA3">
        <w:rPr>
          <w:color w:val="000000"/>
        </w:rPr>
        <w:t>liquidity</w:t>
      </w:r>
      <w:r>
        <w:rPr>
          <w:color w:val="000000"/>
        </w:rPr>
        <w:t xml:space="preserve"> afte</w:t>
      </w:r>
      <w:r w:rsidR="00B72955">
        <w:rPr>
          <w:color w:val="000000"/>
        </w:rPr>
        <w:t>r</w:t>
      </w:r>
      <w:r>
        <w:rPr>
          <w:color w:val="000000"/>
        </w:rPr>
        <w:t xml:space="preserve"> the merger</w:t>
      </w:r>
      <w:r w:rsidR="00836BA3">
        <w:rPr>
          <w:color w:val="000000"/>
        </w:rPr>
        <w:t xml:space="preserve">, </w:t>
      </w:r>
      <w:r w:rsidR="00836BA3">
        <w:rPr>
          <w:color w:val="000000"/>
        </w:rPr>
        <w:lastRenderedPageBreak/>
        <w:t>with the results significant only for the bid-ask spreads regressions</w:t>
      </w:r>
      <w:r>
        <w:rPr>
          <w:color w:val="000000"/>
        </w:rPr>
        <w:t>.  In addition, quarterly reporting is strongly associated with liquidity both before and after the merger</w:t>
      </w:r>
      <w:r w:rsidR="000F4F7E">
        <w:rPr>
          <w:color w:val="000000"/>
        </w:rPr>
        <w:t>, but with different signs</w:t>
      </w:r>
      <w:r w:rsidR="00836BA3">
        <w:rPr>
          <w:color w:val="000000"/>
        </w:rPr>
        <w:t xml:space="preserve"> (for both liquidity proxies, columns (2) and (5))</w:t>
      </w:r>
      <w:r>
        <w:rPr>
          <w:color w:val="000000"/>
        </w:rPr>
        <w:t>.</w:t>
      </w:r>
      <w:r w:rsidR="00785B43">
        <w:rPr>
          <w:color w:val="000000"/>
        </w:rPr>
        <w:t xml:space="preserve"> Specifically, more quarterly reporting in the pre-merger period is associated with increased liquidity, but does not have an incremental effect on liquidity in the post-merger period</w:t>
      </w:r>
      <w:r w:rsidR="00836BA3">
        <w:rPr>
          <w:color w:val="000000"/>
        </w:rPr>
        <w:t xml:space="preserve"> (positive signs on the interaction variable for both proxies, significant only for the </w:t>
      </w:r>
      <w:proofErr w:type="spellStart"/>
      <w:r w:rsidR="00836BA3">
        <w:rPr>
          <w:color w:val="000000"/>
        </w:rPr>
        <w:t>perc_zeroret</w:t>
      </w:r>
      <w:proofErr w:type="spellEnd"/>
      <w:r w:rsidR="00836BA3">
        <w:rPr>
          <w:color w:val="000000"/>
        </w:rPr>
        <w:t xml:space="preserve"> regression)</w:t>
      </w:r>
      <w:r w:rsidR="00785B43">
        <w:rPr>
          <w:color w:val="000000"/>
        </w:rPr>
        <w:t xml:space="preserve">. This appears to suggest that Compl4 and quarterly reporting capture different aspects of </w:t>
      </w:r>
      <w:r w:rsidR="002F642A">
        <w:rPr>
          <w:color w:val="000000"/>
        </w:rPr>
        <w:t xml:space="preserve">segment </w:t>
      </w:r>
      <w:r w:rsidR="00785B43">
        <w:rPr>
          <w:color w:val="000000"/>
        </w:rPr>
        <w:t xml:space="preserve">firms’ information environment, </w:t>
      </w:r>
      <w:r w:rsidR="002F642A">
        <w:rPr>
          <w:color w:val="000000"/>
        </w:rPr>
        <w:t>with differing</w:t>
      </w:r>
      <w:r w:rsidR="00785B43">
        <w:rPr>
          <w:color w:val="000000"/>
        </w:rPr>
        <w:t xml:space="preserve"> impacts on liquidity in the post-</w:t>
      </w:r>
      <w:r w:rsidR="002F642A">
        <w:rPr>
          <w:color w:val="000000"/>
        </w:rPr>
        <w:t>merger pe</w:t>
      </w:r>
      <w:r w:rsidR="00785B43">
        <w:rPr>
          <w:color w:val="000000"/>
        </w:rPr>
        <w:t>r</w:t>
      </w:r>
      <w:r w:rsidR="002F642A">
        <w:rPr>
          <w:color w:val="000000"/>
        </w:rPr>
        <w:t>i</w:t>
      </w:r>
      <w:r w:rsidR="00785B43">
        <w:rPr>
          <w:color w:val="000000"/>
        </w:rPr>
        <w:t>od.</w:t>
      </w:r>
      <w:r>
        <w:rPr>
          <w:color w:val="000000"/>
        </w:rPr>
        <w:t xml:space="preserve"> Finally, </w:t>
      </w:r>
      <w:r w:rsidR="00785B43">
        <w:rPr>
          <w:color w:val="000000"/>
        </w:rPr>
        <w:t xml:space="preserve">we include the individual components of the compliance measure and their interaction with post-Merger separately in the regression to identify the specific information features that affect liquidity in the post-merger period. Note that we have machine readable data for the use of IFRS or US GAAP and </w:t>
      </w:r>
      <w:r w:rsidR="00BF0FD2">
        <w:rPr>
          <w:color w:val="000000"/>
        </w:rPr>
        <w:t xml:space="preserve">global auditors in the entire sample </w:t>
      </w:r>
      <w:proofErr w:type="gramStart"/>
      <w:r w:rsidR="00BF0FD2">
        <w:rPr>
          <w:color w:val="000000"/>
        </w:rPr>
        <w:t>period,</w:t>
      </w:r>
      <w:proofErr w:type="gramEnd"/>
      <w:r w:rsidR="00BF0FD2">
        <w:rPr>
          <w:color w:val="000000"/>
        </w:rPr>
        <w:t xml:space="preserve"> therefore we use </w:t>
      </w:r>
      <w:r w:rsidR="00763E8B">
        <w:rPr>
          <w:color w:val="000000"/>
        </w:rPr>
        <w:t xml:space="preserve">these </w:t>
      </w:r>
      <w:r w:rsidR="00BF0FD2">
        <w:rPr>
          <w:color w:val="000000"/>
        </w:rPr>
        <w:t xml:space="preserve">data along with hand collected data on the other three dimensions in the regression model. The results in column (3) and (6) suggest similar results on </w:t>
      </w:r>
      <w:r>
        <w:rPr>
          <w:color w:val="000000"/>
        </w:rPr>
        <w:t>quarterly reporting</w:t>
      </w:r>
      <w:r w:rsidR="00BF0FD2">
        <w:rPr>
          <w:color w:val="000000"/>
        </w:rPr>
        <w:t xml:space="preserve"> as those in columns (2) and (5). On the other hand, we note that</w:t>
      </w:r>
      <w:r>
        <w:rPr>
          <w:color w:val="000000"/>
        </w:rPr>
        <w:t xml:space="preserve"> the use of IFRS or US GAAP </w:t>
      </w:r>
      <w:r w:rsidR="00B55A2D">
        <w:rPr>
          <w:color w:val="000000"/>
        </w:rPr>
        <w:t xml:space="preserve">individually </w:t>
      </w:r>
      <w:r w:rsidR="00BF0FD2">
        <w:rPr>
          <w:color w:val="000000"/>
        </w:rPr>
        <w:t xml:space="preserve">is </w:t>
      </w:r>
      <w:r>
        <w:rPr>
          <w:color w:val="000000"/>
        </w:rPr>
        <w:t>strongly associated with increases in both measures of liquidity after the merger. These results are consistent with hypothesis H</w:t>
      </w:r>
      <w:r w:rsidR="00836BA3">
        <w:rPr>
          <w:color w:val="000000"/>
        </w:rPr>
        <w:t>1B</w:t>
      </w:r>
      <w:r>
        <w:rPr>
          <w:color w:val="000000"/>
        </w:rPr>
        <w:t>, that liquidity increases after the merger were associated with the extent to which segment firms complied with the provisions of their Commitment Agreements.</w:t>
      </w:r>
      <w:r w:rsidR="00BF0FD2">
        <w:rPr>
          <w:rStyle w:val="FootnoteReference"/>
          <w:color w:val="000000"/>
        </w:rPr>
        <w:footnoteReference w:id="33"/>
      </w:r>
    </w:p>
    <w:p w:rsidR="001A0E5D" w:rsidRDefault="001A0E5D" w:rsidP="00670D05">
      <w:pPr>
        <w:spacing w:line="480" w:lineRule="auto"/>
        <w:outlineLvl w:val="0"/>
        <w:rPr>
          <w:b/>
          <w:color w:val="000000"/>
        </w:rPr>
      </w:pPr>
    </w:p>
    <w:p w:rsidR="00F86152" w:rsidRDefault="0043265F" w:rsidP="00670D05">
      <w:pPr>
        <w:spacing w:line="480" w:lineRule="auto"/>
        <w:outlineLvl w:val="0"/>
        <w:rPr>
          <w:b/>
          <w:color w:val="000000"/>
        </w:rPr>
      </w:pPr>
      <w:r>
        <w:rPr>
          <w:b/>
          <w:color w:val="000000"/>
        </w:rPr>
        <w:t>4</w:t>
      </w:r>
      <w:r w:rsidR="009D790B" w:rsidRPr="007337ED">
        <w:rPr>
          <w:b/>
          <w:color w:val="000000"/>
        </w:rPr>
        <w:t>.</w:t>
      </w:r>
      <w:r w:rsidR="00030204">
        <w:rPr>
          <w:b/>
          <w:color w:val="000000"/>
        </w:rPr>
        <w:t>3</w:t>
      </w:r>
      <w:r w:rsidR="009D790B" w:rsidRPr="007337ED">
        <w:rPr>
          <w:b/>
          <w:color w:val="000000"/>
        </w:rPr>
        <w:t xml:space="preserve"> </w:t>
      </w:r>
      <w:r w:rsidR="00592229">
        <w:rPr>
          <w:b/>
          <w:color w:val="000000"/>
        </w:rPr>
        <w:t>Accounting Quality Analyses</w:t>
      </w:r>
    </w:p>
    <w:p w:rsidR="008665DA" w:rsidRDefault="008665DA" w:rsidP="00175265">
      <w:pPr>
        <w:spacing w:line="480" w:lineRule="auto"/>
        <w:ind w:firstLine="432"/>
        <w:jc w:val="both"/>
        <w:rPr>
          <w:color w:val="000000"/>
        </w:rPr>
      </w:pPr>
      <w:r>
        <w:rPr>
          <w:color w:val="000000"/>
        </w:rPr>
        <w:t>W</w:t>
      </w:r>
      <w:r w:rsidR="0039413B">
        <w:rPr>
          <w:color w:val="000000"/>
        </w:rPr>
        <w:t xml:space="preserve">e </w:t>
      </w:r>
      <w:r w:rsidR="00030204">
        <w:rPr>
          <w:color w:val="000000"/>
        </w:rPr>
        <w:t>next</w:t>
      </w:r>
      <w:r w:rsidR="0039413B">
        <w:rPr>
          <w:color w:val="000000"/>
        </w:rPr>
        <w:t xml:space="preserve"> </w:t>
      </w:r>
      <w:r w:rsidR="00B55A2D">
        <w:rPr>
          <w:color w:val="000000"/>
        </w:rPr>
        <w:t xml:space="preserve">document and </w:t>
      </w:r>
      <w:r w:rsidR="0098345A">
        <w:rPr>
          <w:color w:val="000000"/>
        </w:rPr>
        <w:t>compare</w:t>
      </w:r>
      <w:r w:rsidR="0039413B">
        <w:rPr>
          <w:color w:val="000000"/>
        </w:rPr>
        <w:t xml:space="preserve"> the effects</w:t>
      </w:r>
      <w:r>
        <w:rPr>
          <w:color w:val="000000"/>
        </w:rPr>
        <w:t xml:space="preserve"> of the Euronext </w:t>
      </w:r>
      <w:r w:rsidR="00FA5FA2">
        <w:rPr>
          <w:color w:val="000000"/>
        </w:rPr>
        <w:t xml:space="preserve">formation </w:t>
      </w:r>
      <w:r>
        <w:rPr>
          <w:color w:val="000000"/>
        </w:rPr>
        <w:t xml:space="preserve">on </w:t>
      </w:r>
      <w:r w:rsidR="00E9135F">
        <w:rPr>
          <w:color w:val="000000"/>
        </w:rPr>
        <w:t>listed firms' accounting</w:t>
      </w:r>
      <w:r>
        <w:rPr>
          <w:color w:val="000000"/>
        </w:rPr>
        <w:t xml:space="preserve"> quality</w:t>
      </w:r>
      <w:r w:rsidR="00DC25FB">
        <w:rPr>
          <w:color w:val="000000"/>
        </w:rPr>
        <w:t>.  These analyses are tests of hypotheses H2 (accounting quality increased for all Euronext-listed firms at the time of the merger), H2A (accounting quality increased for segment firms relative to non-</w:t>
      </w:r>
      <w:r w:rsidR="00DC25FB">
        <w:rPr>
          <w:color w:val="000000"/>
        </w:rPr>
        <w:lastRenderedPageBreak/>
        <w:t xml:space="preserve">segment firms), and H2B (accounting quality increased </w:t>
      </w:r>
      <w:r w:rsidR="00497090">
        <w:rPr>
          <w:color w:val="000000"/>
        </w:rPr>
        <w:t xml:space="preserve">more </w:t>
      </w:r>
      <w:r w:rsidR="00DC25FB">
        <w:rPr>
          <w:color w:val="000000"/>
        </w:rPr>
        <w:t xml:space="preserve">for </w:t>
      </w:r>
      <w:r w:rsidR="00535FFB">
        <w:rPr>
          <w:color w:val="000000"/>
        </w:rPr>
        <w:t>high-compliance</w:t>
      </w:r>
      <w:r w:rsidR="00B72955">
        <w:rPr>
          <w:color w:val="000000"/>
        </w:rPr>
        <w:t xml:space="preserve"> </w:t>
      </w:r>
      <w:r w:rsidR="00DC25FB">
        <w:rPr>
          <w:color w:val="000000"/>
        </w:rPr>
        <w:t xml:space="preserve">segment firms).  </w:t>
      </w:r>
      <w:r w:rsidR="0039413B">
        <w:rPr>
          <w:color w:val="000000"/>
        </w:rPr>
        <w:t xml:space="preserve">While there is no universally agreed </w:t>
      </w:r>
      <w:r w:rsidR="00B72955">
        <w:rPr>
          <w:color w:val="000000"/>
        </w:rPr>
        <w:t xml:space="preserve">upon </w:t>
      </w:r>
      <w:r w:rsidR="0039413B">
        <w:rPr>
          <w:color w:val="000000"/>
        </w:rPr>
        <w:t>empirical measure of accounting quality, to the extent the results of various analyses support a general conclusion, the strength and creditability of the results are enhanced</w:t>
      </w:r>
      <w:r w:rsidR="00527149">
        <w:rPr>
          <w:color w:val="000000"/>
        </w:rPr>
        <w:t xml:space="preserve"> (</w:t>
      </w:r>
      <w:proofErr w:type="spellStart"/>
      <w:r w:rsidR="00527149">
        <w:rPr>
          <w:color w:val="000000"/>
        </w:rPr>
        <w:t>Burgstahler</w:t>
      </w:r>
      <w:proofErr w:type="spellEnd"/>
      <w:r w:rsidR="00527149">
        <w:rPr>
          <w:color w:val="000000"/>
        </w:rPr>
        <w:t xml:space="preserve"> et al. 2006, Barth et al. 2007, and Lang et al. 2003, among others)</w:t>
      </w:r>
      <w:r w:rsidR="0039413B">
        <w:rPr>
          <w:color w:val="000000"/>
        </w:rPr>
        <w:t xml:space="preserve">.  </w:t>
      </w:r>
      <w:r w:rsidR="00E9135F">
        <w:rPr>
          <w:color w:val="000000"/>
        </w:rPr>
        <w:t>W</w:t>
      </w:r>
      <w:r w:rsidR="0039413B">
        <w:rPr>
          <w:color w:val="000000"/>
        </w:rPr>
        <w:t xml:space="preserve">e take the approach of examining several </w:t>
      </w:r>
      <w:r w:rsidR="00E9135F">
        <w:rPr>
          <w:color w:val="000000"/>
        </w:rPr>
        <w:t xml:space="preserve">proxies for </w:t>
      </w:r>
      <w:r w:rsidR="0039413B">
        <w:rPr>
          <w:color w:val="000000"/>
        </w:rPr>
        <w:t>accounting quality</w:t>
      </w:r>
      <w:r w:rsidR="00B55A2D">
        <w:rPr>
          <w:color w:val="000000"/>
        </w:rPr>
        <w:t xml:space="preserve"> that we are able to sign and interpret</w:t>
      </w:r>
      <w:r w:rsidR="00497090">
        <w:rPr>
          <w:color w:val="000000"/>
        </w:rPr>
        <w:t xml:space="preserve"> more clearly</w:t>
      </w:r>
      <w:r w:rsidR="0039413B">
        <w:rPr>
          <w:color w:val="000000"/>
        </w:rPr>
        <w:t xml:space="preserve">.  </w:t>
      </w:r>
      <w:r w:rsidR="00836BA3">
        <w:rPr>
          <w:color w:val="000000"/>
        </w:rPr>
        <w:t>Specifically, w</w:t>
      </w:r>
      <w:r>
        <w:rPr>
          <w:color w:val="000000"/>
        </w:rPr>
        <w:t xml:space="preserve">e examine a market-based accounting quality measure, </w:t>
      </w:r>
      <w:r w:rsidR="00592229">
        <w:rPr>
          <w:color w:val="000000"/>
        </w:rPr>
        <w:t>timely loss recognition (TLR),</w:t>
      </w:r>
      <w:r w:rsidR="0039413B">
        <w:rPr>
          <w:color w:val="000000"/>
        </w:rPr>
        <w:t xml:space="preserve"> in </w:t>
      </w:r>
      <w:r w:rsidR="00030204">
        <w:rPr>
          <w:color w:val="000000"/>
        </w:rPr>
        <w:t>s</w:t>
      </w:r>
      <w:r w:rsidR="0039413B">
        <w:rPr>
          <w:color w:val="000000"/>
        </w:rPr>
        <w:t xml:space="preserve">ection </w:t>
      </w:r>
      <w:r w:rsidR="00836BA3">
        <w:rPr>
          <w:color w:val="000000"/>
        </w:rPr>
        <w:t>4</w:t>
      </w:r>
      <w:r w:rsidR="0039413B">
        <w:rPr>
          <w:color w:val="000000"/>
        </w:rPr>
        <w:t>.</w:t>
      </w:r>
      <w:r w:rsidR="00030204">
        <w:rPr>
          <w:color w:val="000000"/>
        </w:rPr>
        <w:t>3</w:t>
      </w:r>
      <w:r w:rsidR="00E9135F">
        <w:rPr>
          <w:color w:val="000000"/>
        </w:rPr>
        <w:t>.1</w:t>
      </w:r>
      <w:r w:rsidR="0039413B">
        <w:rPr>
          <w:color w:val="000000"/>
        </w:rPr>
        <w:t xml:space="preserve">, and </w:t>
      </w:r>
      <w:r>
        <w:rPr>
          <w:color w:val="000000"/>
        </w:rPr>
        <w:t xml:space="preserve">several earnings management based accounting quality measures taken from </w:t>
      </w:r>
      <w:proofErr w:type="spellStart"/>
      <w:r w:rsidR="00DC25FB">
        <w:rPr>
          <w:color w:val="000000"/>
        </w:rPr>
        <w:t>Leuz</w:t>
      </w:r>
      <w:proofErr w:type="spellEnd"/>
      <w:r w:rsidR="00DC25FB">
        <w:rPr>
          <w:color w:val="000000"/>
        </w:rPr>
        <w:t xml:space="preserve"> et al. (2003), </w:t>
      </w:r>
      <w:r>
        <w:rPr>
          <w:color w:val="000000"/>
        </w:rPr>
        <w:t>Barth et al. (2007) and Lang et al. (2003)</w:t>
      </w:r>
      <w:r w:rsidR="0039413B">
        <w:rPr>
          <w:color w:val="000000"/>
        </w:rPr>
        <w:t xml:space="preserve"> in </w:t>
      </w:r>
      <w:r w:rsidR="00030204">
        <w:rPr>
          <w:color w:val="000000"/>
        </w:rPr>
        <w:t>s</w:t>
      </w:r>
      <w:r w:rsidR="0039413B">
        <w:rPr>
          <w:color w:val="000000"/>
        </w:rPr>
        <w:t xml:space="preserve">ection </w:t>
      </w:r>
      <w:r w:rsidR="00836BA3">
        <w:rPr>
          <w:color w:val="000000"/>
        </w:rPr>
        <w:t>4</w:t>
      </w:r>
      <w:r w:rsidR="0039413B">
        <w:rPr>
          <w:color w:val="000000"/>
        </w:rPr>
        <w:t>.</w:t>
      </w:r>
      <w:r w:rsidR="00E9135F">
        <w:rPr>
          <w:color w:val="000000"/>
        </w:rPr>
        <w:t>3.2</w:t>
      </w:r>
      <w:r>
        <w:rPr>
          <w:color w:val="000000"/>
        </w:rPr>
        <w:t xml:space="preserve">. </w:t>
      </w:r>
    </w:p>
    <w:p w:rsidR="00592229" w:rsidRDefault="0043265F" w:rsidP="00F86152">
      <w:pPr>
        <w:spacing w:line="480" w:lineRule="auto"/>
        <w:outlineLvl w:val="0"/>
        <w:rPr>
          <w:b/>
          <w:color w:val="000000"/>
        </w:rPr>
      </w:pPr>
      <w:r>
        <w:rPr>
          <w:b/>
          <w:color w:val="000000"/>
        </w:rPr>
        <w:t>4</w:t>
      </w:r>
      <w:r w:rsidR="00F86152" w:rsidRPr="007337ED">
        <w:rPr>
          <w:b/>
          <w:color w:val="000000"/>
        </w:rPr>
        <w:t>.</w:t>
      </w:r>
      <w:r w:rsidR="00030204">
        <w:rPr>
          <w:b/>
          <w:color w:val="000000"/>
        </w:rPr>
        <w:t>3</w:t>
      </w:r>
      <w:r w:rsidR="00B55A2D">
        <w:rPr>
          <w:b/>
          <w:color w:val="000000"/>
        </w:rPr>
        <w:t>.1</w:t>
      </w:r>
      <w:r w:rsidR="00F86152">
        <w:rPr>
          <w:b/>
          <w:color w:val="000000"/>
        </w:rPr>
        <w:t xml:space="preserve"> </w:t>
      </w:r>
      <w:r w:rsidR="00592229">
        <w:rPr>
          <w:b/>
          <w:color w:val="000000"/>
        </w:rPr>
        <w:t>Timely Loss Recognition</w:t>
      </w:r>
    </w:p>
    <w:p w:rsidR="00DB48AF" w:rsidRPr="00264BC5" w:rsidRDefault="00F86152" w:rsidP="00F01AA8">
      <w:pPr>
        <w:spacing w:line="480" w:lineRule="auto"/>
        <w:jc w:val="both"/>
        <w:outlineLvl w:val="0"/>
        <w:rPr>
          <w:b/>
          <w:color w:val="000000"/>
        </w:rPr>
      </w:pPr>
      <w:r w:rsidRPr="00264BC5">
        <w:rPr>
          <w:b/>
          <w:smallCaps/>
          <w:color w:val="000000"/>
        </w:rPr>
        <w:t>Empirical Design</w:t>
      </w:r>
      <w:r>
        <w:rPr>
          <w:color w:val="000000"/>
        </w:rPr>
        <w:t xml:space="preserve"> </w:t>
      </w:r>
      <w:r w:rsidR="009D790B">
        <w:rPr>
          <w:color w:val="000000"/>
        </w:rPr>
        <w:t xml:space="preserve">We expect firms with higher quality accounting to </w:t>
      </w:r>
      <w:r w:rsidR="00B72955">
        <w:rPr>
          <w:color w:val="000000"/>
        </w:rPr>
        <w:t xml:space="preserve">incorporate bad news into earnings measurements in a </w:t>
      </w:r>
      <w:proofErr w:type="gramStart"/>
      <w:r w:rsidR="00B72955">
        <w:rPr>
          <w:color w:val="000000"/>
        </w:rPr>
        <w:t>more</w:t>
      </w:r>
      <w:r w:rsidR="00BE19B2">
        <w:rPr>
          <w:color w:val="000000"/>
        </w:rPr>
        <w:t xml:space="preserve"> </w:t>
      </w:r>
      <w:r w:rsidR="00B72955">
        <w:rPr>
          <w:color w:val="000000"/>
        </w:rPr>
        <w:t>timely</w:t>
      </w:r>
      <w:proofErr w:type="gramEnd"/>
      <w:r w:rsidR="00B72955">
        <w:rPr>
          <w:color w:val="000000"/>
        </w:rPr>
        <w:t xml:space="preserve"> manner</w:t>
      </w:r>
      <w:r w:rsidR="00535FFB">
        <w:rPr>
          <w:color w:val="000000"/>
        </w:rPr>
        <w:t>, leading to a higher</w:t>
      </w:r>
      <w:r w:rsidR="009D790B">
        <w:rPr>
          <w:color w:val="000000"/>
        </w:rPr>
        <w:t xml:space="preserve"> association between stock returns and </w:t>
      </w:r>
      <w:r w:rsidR="00535FFB">
        <w:rPr>
          <w:color w:val="000000"/>
        </w:rPr>
        <w:t xml:space="preserve">negative </w:t>
      </w:r>
      <w:r w:rsidR="009D790B">
        <w:rPr>
          <w:color w:val="000000"/>
        </w:rPr>
        <w:t>accounting earnings</w:t>
      </w:r>
      <w:r w:rsidR="00F31628">
        <w:rPr>
          <w:color w:val="000000"/>
        </w:rPr>
        <w:t>.</w:t>
      </w:r>
      <w:r>
        <w:rPr>
          <w:color w:val="000000"/>
        </w:rPr>
        <w:t xml:space="preserve">  </w:t>
      </w:r>
      <w:r w:rsidR="009D790B">
        <w:rPr>
          <w:color w:val="000000"/>
        </w:rPr>
        <w:t xml:space="preserve">Following </w:t>
      </w:r>
      <w:r w:rsidR="00030204">
        <w:t>prior studies (</w:t>
      </w:r>
      <w:proofErr w:type="spellStart"/>
      <w:r w:rsidR="00030204">
        <w:t>Basu</w:t>
      </w:r>
      <w:proofErr w:type="spellEnd"/>
      <w:r w:rsidR="00030204">
        <w:t xml:space="preserve"> 1997, Ball, Kothari, and Robin 2000, </w:t>
      </w:r>
      <w:r w:rsidR="00DC25FB">
        <w:t xml:space="preserve">and </w:t>
      </w:r>
      <w:r w:rsidR="00592229">
        <w:t>Khan and Watts 2009</w:t>
      </w:r>
      <w:r w:rsidR="00DC25FB">
        <w:t>, among others</w:t>
      </w:r>
      <w:r w:rsidR="00592229">
        <w:t>)</w:t>
      </w:r>
      <w:r w:rsidR="009D790B">
        <w:rPr>
          <w:color w:val="000000"/>
        </w:rPr>
        <w:t xml:space="preserve">, </w:t>
      </w:r>
      <w:r w:rsidR="00AA12DC">
        <w:rPr>
          <w:color w:val="000000"/>
        </w:rPr>
        <w:t xml:space="preserve">our </w:t>
      </w:r>
      <w:r w:rsidR="009D790B">
        <w:rPr>
          <w:color w:val="000000"/>
        </w:rPr>
        <w:t xml:space="preserve">measure </w:t>
      </w:r>
      <w:r w:rsidR="00AA12DC">
        <w:rPr>
          <w:color w:val="000000"/>
        </w:rPr>
        <w:t xml:space="preserve">of </w:t>
      </w:r>
      <w:r w:rsidR="00592229">
        <w:rPr>
          <w:color w:val="000000"/>
        </w:rPr>
        <w:t>TLR</w:t>
      </w:r>
      <w:r w:rsidR="009D790B">
        <w:rPr>
          <w:color w:val="000000"/>
        </w:rPr>
        <w:t xml:space="preserve"> </w:t>
      </w:r>
      <w:r w:rsidR="00030204">
        <w:rPr>
          <w:color w:val="000000"/>
        </w:rPr>
        <w:t>comes from a reverse regression of earnings per share on annual stock returns</w:t>
      </w:r>
      <w:r w:rsidR="009D790B">
        <w:rPr>
          <w:color w:val="000000"/>
        </w:rPr>
        <w:t>:</w:t>
      </w:r>
    </w:p>
    <w:p w:rsidR="00030204" w:rsidRDefault="00332BD2" w:rsidP="00AB2093">
      <w:pPr>
        <w:rPr>
          <w:color w:val="000000"/>
        </w:rPr>
      </w:pPr>
      <w:proofErr w:type="spellStart"/>
      <w:r>
        <w:rPr>
          <w:color w:val="000000"/>
        </w:rPr>
        <w:t>NI_Assets</w:t>
      </w:r>
      <w:proofErr w:type="spellEnd"/>
      <w:r w:rsidR="00030204" w:rsidRPr="00B54A73">
        <w:rPr>
          <w:color w:val="000000"/>
        </w:rPr>
        <w:t xml:space="preserve"> = </w:t>
      </w:r>
      <w:r w:rsidR="00030204" w:rsidRPr="00B54A73">
        <w:rPr>
          <w:szCs w:val="20"/>
        </w:rPr>
        <w:t>β</w:t>
      </w:r>
      <w:r w:rsidR="00030204" w:rsidRPr="00B54A73">
        <w:rPr>
          <w:szCs w:val="20"/>
          <w:vertAlign w:val="subscript"/>
        </w:rPr>
        <w:t>0</w:t>
      </w:r>
      <w:r w:rsidR="00030204" w:rsidRPr="00B54A73">
        <w:rPr>
          <w:color w:val="000000"/>
        </w:rPr>
        <w:t xml:space="preserve">Return + </w:t>
      </w:r>
      <w:r w:rsidR="00030204" w:rsidRPr="00B54A73">
        <w:rPr>
          <w:szCs w:val="20"/>
        </w:rPr>
        <w:t>β</w:t>
      </w:r>
      <w:r w:rsidR="00030204" w:rsidRPr="00B54A73">
        <w:rPr>
          <w:szCs w:val="20"/>
          <w:vertAlign w:val="subscript"/>
        </w:rPr>
        <w:t>1</w:t>
      </w:r>
      <w:r w:rsidR="00030204" w:rsidRPr="00B54A73">
        <w:rPr>
          <w:color w:val="000000"/>
        </w:rPr>
        <w:t xml:space="preserve">NegRet + </w:t>
      </w:r>
      <w:r w:rsidR="00030204" w:rsidRPr="00B54A73">
        <w:rPr>
          <w:szCs w:val="20"/>
        </w:rPr>
        <w:t>β</w:t>
      </w:r>
      <w:r w:rsidR="00030204" w:rsidRPr="00B54A73">
        <w:rPr>
          <w:szCs w:val="20"/>
          <w:vertAlign w:val="subscript"/>
        </w:rPr>
        <w:t>2</w:t>
      </w:r>
      <w:r w:rsidR="00030204" w:rsidRPr="00B54A73">
        <w:rPr>
          <w:color w:val="000000"/>
        </w:rPr>
        <w:t>Return*</w:t>
      </w:r>
      <w:proofErr w:type="spellStart"/>
      <w:r w:rsidR="00030204" w:rsidRPr="00B54A73">
        <w:rPr>
          <w:color w:val="000000"/>
        </w:rPr>
        <w:t>NegRet</w:t>
      </w:r>
      <w:proofErr w:type="spellEnd"/>
      <w:r w:rsidR="00030204" w:rsidRPr="00B54A73">
        <w:rPr>
          <w:color w:val="000000"/>
        </w:rPr>
        <w:t xml:space="preserve"> + </w:t>
      </w:r>
      <w:r w:rsidR="00030204" w:rsidRPr="00B54A73">
        <w:rPr>
          <w:szCs w:val="20"/>
        </w:rPr>
        <w:t>β</w:t>
      </w:r>
      <w:r w:rsidR="00030204" w:rsidRPr="00B54A73">
        <w:rPr>
          <w:szCs w:val="20"/>
          <w:vertAlign w:val="subscript"/>
        </w:rPr>
        <w:t>3</w:t>
      </w:r>
      <w:r w:rsidR="00030204" w:rsidRPr="003B3FDC">
        <w:rPr>
          <w:color w:val="000000"/>
        </w:rPr>
        <w:t>Post</w:t>
      </w:r>
      <w:r w:rsidR="00592229">
        <w:rPr>
          <w:color w:val="000000"/>
        </w:rPr>
        <w:t>-Merger</w:t>
      </w:r>
      <w:r w:rsidR="00030204">
        <w:rPr>
          <w:color w:val="000000"/>
        </w:rPr>
        <w:t xml:space="preserve"> + </w:t>
      </w:r>
      <w:r w:rsidR="00030204" w:rsidRPr="00B54A73">
        <w:rPr>
          <w:szCs w:val="20"/>
        </w:rPr>
        <w:t>β</w:t>
      </w:r>
      <w:r w:rsidR="00030204">
        <w:rPr>
          <w:szCs w:val="20"/>
          <w:vertAlign w:val="subscript"/>
        </w:rPr>
        <w:t>4</w:t>
      </w:r>
      <w:r w:rsidR="00030204" w:rsidRPr="00B54A73">
        <w:rPr>
          <w:color w:val="000000"/>
        </w:rPr>
        <w:t>Post</w:t>
      </w:r>
      <w:r w:rsidR="00592229">
        <w:rPr>
          <w:color w:val="000000"/>
        </w:rPr>
        <w:t>-Merger</w:t>
      </w:r>
      <w:r w:rsidR="00030204" w:rsidRPr="00B54A73">
        <w:rPr>
          <w:color w:val="000000"/>
        </w:rPr>
        <w:t xml:space="preserve">*Return </w:t>
      </w:r>
    </w:p>
    <w:p w:rsidR="00030204" w:rsidRDefault="00030204" w:rsidP="00030204">
      <w:pPr>
        <w:rPr>
          <w:color w:val="000000"/>
        </w:rPr>
      </w:pPr>
    </w:p>
    <w:p w:rsidR="009D790B" w:rsidRDefault="00030204" w:rsidP="00030204">
      <w:pPr>
        <w:ind w:firstLine="720"/>
        <w:rPr>
          <w:color w:val="000000"/>
        </w:rPr>
      </w:pPr>
      <w:r w:rsidRPr="00B54A73">
        <w:rPr>
          <w:color w:val="000000"/>
        </w:rPr>
        <w:t xml:space="preserve">+ </w:t>
      </w:r>
      <w:r w:rsidRPr="00B54A73">
        <w:rPr>
          <w:szCs w:val="20"/>
        </w:rPr>
        <w:t>β</w:t>
      </w:r>
      <w:r>
        <w:rPr>
          <w:szCs w:val="20"/>
          <w:vertAlign w:val="subscript"/>
        </w:rPr>
        <w:t>5</w:t>
      </w:r>
      <w:r w:rsidRPr="00B54A73">
        <w:rPr>
          <w:color w:val="000000"/>
        </w:rPr>
        <w:t>Post</w:t>
      </w:r>
      <w:r w:rsidR="00592229">
        <w:rPr>
          <w:color w:val="000000"/>
        </w:rPr>
        <w:t>-Merger</w:t>
      </w:r>
      <w:r w:rsidRPr="00B54A73">
        <w:rPr>
          <w:color w:val="000000"/>
        </w:rPr>
        <w:t>*</w:t>
      </w:r>
      <w:proofErr w:type="spellStart"/>
      <w:r w:rsidRPr="00B54A73">
        <w:rPr>
          <w:color w:val="000000"/>
        </w:rPr>
        <w:t>NegRet</w:t>
      </w:r>
      <w:proofErr w:type="spellEnd"/>
      <w:r w:rsidRPr="00B54A73">
        <w:rPr>
          <w:color w:val="000000"/>
        </w:rPr>
        <w:t xml:space="preserve"> + </w:t>
      </w:r>
      <w:r w:rsidRPr="00B54A73">
        <w:rPr>
          <w:szCs w:val="20"/>
        </w:rPr>
        <w:t>β</w:t>
      </w:r>
      <w:r>
        <w:rPr>
          <w:szCs w:val="20"/>
          <w:vertAlign w:val="subscript"/>
        </w:rPr>
        <w:t>6</w:t>
      </w:r>
      <w:r w:rsidRPr="00B54A73">
        <w:rPr>
          <w:color w:val="000000"/>
        </w:rPr>
        <w:t>Post</w:t>
      </w:r>
      <w:r w:rsidR="00592229">
        <w:rPr>
          <w:color w:val="000000"/>
        </w:rPr>
        <w:t>-Merger</w:t>
      </w:r>
      <w:r w:rsidRPr="00B54A73">
        <w:rPr>
          <w:color w:val="000000"/>
        </w:rPr>
        <w:t>*Return*</w:t>
      </w:r>
      <w:proofErr w:type="spellStart"/>
      <w:r w:rsidRPr="00B54A73">
        <w:rPr>
          <w:color w:val="000000"/>
        </w:rPr>
        <w:t>Neg</w:t>
      </w:r>
      <w:r>
        <w:rPr>
          <w:color w:val="000000"/>
        </w:rPr>
        <w:t>R</w:t>
      </w:r>
      <w:r w:rsidRPr="00B54A73">
        <w:rPr>
          <w:color w:val="000000"/>
        </w:rPr>
        <w:t>et</w:t>
      </w:r>
      <w:proofErr w:type="spellEnd"/>
      <w:r w:rsidRPr="00B54A73">
        <w:rPr>
          <w:color w:val="000000"/>
        </w:rPr>
        <w:t xml:space="preserve"> + ε</w:t>
      </w:r>
      <w:r w:rsidR="009D790B">
        <w:rPr>
          <w:color w:val="000000"/>
        </w:rPr>
        <w:tab/>
      </w:r>
      <w:r>
        <w:rPr>
          <w:color w:val="000000"/>
        </w:rPr>
        <w:tab/>
      </w:r>
      <w:r w:rsidR="00B35E41">
        <w:rPr>
          <w:color w:val="000000"/>
        </w:rPr>
        <w:t xml:space="preserve">          </w:t>
      </w:r>
      <w:r w:rsidR="009D790B">
        <w:rPr>
          <w:color w:val="000000"/>
        </w:rPr>
        <w:tab/>
      </w:r>
      <w:r w:rsidR="00BF373E">
        <w:rPr>
          <w:color w:val="000000"/>
        </w:rPr>
        <w:t xml:space="preserve">  </w:t>
      </w:r>
      <w:r w:rsidR="00B35E41">
        <w:rPr>
          <w:color w:val="000000"/>
        </w:rPr>
        <w:t xml:space="preserve">          </w:t>
      </w:r>
      <w:r w:rsidR="00BF373E">
        <w:rPr>
          <w:color w:val="000000"/>
        </w:rPr>
        <w:t>(</w:t>
      </w:r>
      <w:r w:rsidR="009D790B">
        <w:rPr>
          <w:color w:val="000000"/>
        </w:rPr>
        <w:t xml:space="preserve">Eq. </w:t>
      </w:r>
      <w:r>
        <w:rPr>
          <w:color w:val="000000"/>
        </w:rPr>
        <w:t>2</w:t>
      </w:r>
      <w:r w:rsidR="00BF373E">
        <w:rPr>
          <w:color w:val="000000"/>
        </w:rPr>
        <w:t>)</w:t>
      </w:r>
    </w:p>
    <w:p w:rsidR="00AB2093" w:rsidRDefault="00AB2093" w:rsidP="00030204">
      <w:pPr>
        <w:ind w:firstLine="720"/>
        <w:rPr>
          <w:color w:val="000000"/>
        </w:rPr>
      </w:pPr>
    </w:p>
    <w:p w:rsidR="00264BC5" w:rsidRPr="005161B8" w:rsidRDefault="00AA12DC" w:rsidP="00061C5E">
      <w:pPr>
        <w:autoSpaceDE w:val="0"/>
        <w:autoSpaceDN w:val="0"/>
        <w:adjustRightInd w:val="0"/>
        <w:spacing w:line="480" w:lineRule="auto"/>
        <w:ind w:firstLine="432"/>
        <w:jc w:val="both"/>
      </w:pPr>
      <w:r w:rsidRPr="00332BD2">
        <w:t xml:space="preserve">Specifically, we </w:t>
      </w:r>
      <w:proofErr w:type="gramStart"/>
      <w:r w:rsidRPr="00332BD2">
        <w:t>regress</w:t>
      </w:r>
      <w:proofErr w:type="gramEnd"/>
      <w:r w:rsidRPr="00332BD2">
        <w:t xml:space="preserve"> earnings on return</w:t>
      </w:r>
      <w:r w:rsidR="00CD6C27" w:rsidRPr="00332BD2">
        <w:t>s</w:t>
      </w:r>
      <w:r w:rsidRPr="00332BD2">
        <w:t xml:space="preserve"> separately for good news and bad news firm</w:t>
      </w:r>
      <w:r w:rsidR="00332BD2" w:rsidRPr="00332BD2">
        <w:t>-year observation</w:t>
      </w:r>
      <w:r w:rsidRPr="00332BD2">
        <w:t xml:space="preserve">s, with observations classified as bad news if returns are negative and good news otherwise.  </w:t>
      </w:r>
      <w:r w:rsidR="00061C5E" w:rsidRPr="00332BD2">
        <w:t>The regression specification includes an indicator variable for the period after the merger (Post</w:t>
      </w:r>
      <w:r w:rsidR="00332BD2" w:rsidRPr="00332BD2">
        <w:t>-Merger</w:t>
      </w:r>
      <w:r w:rsidR="00061C5E" w:rsidRPr="00332BD2">
        <w:t>), and interactions between Post</w:t>
      </w:r>
      <w:r w:rsidR="00332BD2" w:rsidRPr="00332BD2">
        <w:t>-Merger</w:t>
      </w:r>
      <w:r w:rsidR="00061C5E" w:rsidRPr="00332BD2">
        <w:t xml:space="preserve"> and Returns for both good and bad news firm-years.  The coefficient of interest is that on the interaction Post</w:t>
      </w:r>
      <w:r w:rsidR="00332BD2" w:rsidRPr="00332BD2">
        <w:t>-Merger</w:t>
      </w:r>
      <w:r w:rsidR="00061C5E" w:rsidRPr="00332BD2">
        <w:t>*Return*</w:t>
      </w:r>
      <w:proofErr w:type="spellStart"/>
      <w:r w:rsidR="00061C5E" w:rsidRPr="00332BD2">
        <w:t>NegRet</w:t>
      </w:r>
      <w:proofErr w:type="spellEnd"/>
      <w:r w:rsidR="00061C5E" w:rsidRPr="00332BD2">
        <w:t>.</w:t>
      </w:r>
      <w:r w:rsidR="00061C5E">
        <w:t xml:space="preserve">  </w:t>
      </w:r>
    </w:p>
    <w:p w:rsidR="00B55A2D" w:rsidRPr="00264BC5" w:rsidRDefault="00F86152" w:rsidP="00F01AA8">
      <w:pPr>
        <w:spacing w:line="480" w:lineRule="auto"/>
        <w:jc w:val="both"/>
        <w:outlineLvl w:val="0"/>
        <w:rPr>
          <w:b/>
          <w:color w:val="000000"/>
        </w:rPr>
      </w:pPr>
      <w:r w:rsidRPr="00264BC5">
        <w:rPr>
          <w:b/>
          <w:smallCaps/>
          <w:color w:val="000000"/>
        </w:rPr>
        <w:t>Empirical Results</w:t>
      </w:r>
      <w:r>
        <w:rPr>
          <w:color w:val="000000"/>
        </w:rPr>
        <w:t xml:space="preserve"> </w:t>
      </w:r>
      <w:r w:rsidR="00A067D4">
        <w:t xml:space="preserve">Table </w:t>
      </w:r>
      <w:r w:rsidR="00061C5E">
        <w:t>6</w:t>
      </w:r>
      <w:r w:rsidR="00A067D4">
        <w:t xml:space="preserve"> presents </w:t>
      </w:r>
      <w:r w:rsidR="009D790B">
        <w:t>the results of our</w:t>
      </w:r>
      <w:r w:rsidR="00592229">
        <w:t xml:space="preserve"> TLR </w:t>
      </w:r>
      <w:r w:rsidR="009D790B">
        <w:t>analyses</w:t>
      </w:r>
      <w:r w:rsidR="00C35D16">
        <w:t xml:space="preserve">, </w:t>
      </w:r>
      <w:r w:rsidR="00C35D16" w:rsidRPr="00592229">
        <w:t xml:space="preserve">comparing </w:t>
      </w:r>
      <w:r w:rsidR="00592229" w:rsidRPr="00592229">
        <w:t>TLR</w:t>
      </w:r>
      <w:r w:rsidR="00C35D16" w:rsidRPr="00592229">
        <w:t xml:space="preserve"> of earnings between the pre-merger and post-merger periods for the segment and non-segment firms</w:t>
      </w:r>
      <w:r w:rsidR="00592229" w:rsidRPr="00592229">
        <w:t xml:space="preserve">, and between </w:t>
      </w:r>
      <w:r w:rsidR="00592229" w:rsidRPr="00592229">
        <w:lastRenderedPageBreak/>
        <w:t xml:space="preserve">the </w:t>
      </w:r>
      <w:r w:rsidR="00646693">
        <w:t>high-</w:t>
      </w:r>
      <w:r w:rsidR="00F42041">
        <w:t>/</w:t>
      </w:r>
      <w:r w:rsidR="00535FFB">
        <w:t xml:space="preserve">low-compliance </w:t>
      </w:r>
      <w:r w:rsidR="00592229" w:rsidRPr="00592229">
        <w:t>segment firms</w:t>
      </w:r>
      <w:r w:rsidR="00F42041">
        <w:t xml:space="preserve"> and non-segment firms</w:t>
      </w:r>
      <w:r w:rsidRPr="00592229">
        <w:t xml:space="preserve">.  </w:t>
      </w:r>
      <w:r w:rsidR="00F42041">
        <w:t xml:space="preserve">We use Compl4 to partition the segment firms because the results in table 5 suggests that quarterly reporting has a different effect on liquidity from the other four dimensions of compliance in the post-merger period.  Specifically, we refer to segment firms with Compl4=1 as “high-compliance firms” and firms with Compl4=0 as “low-compliance firms.” </w:t>
      </w:r>
      <w:r w:rsidR="00F42041" w:rsidRPr="00592229">
        <w:t xml:space="preserve"> </w:t>
      </w:r>
      <w:r w:rsidRPr="00592229">
        <w:t xml:space="preserve">The results </w:t>
      </w:r>
      <w:r w:rsidR="00F42041">
        <w:t xml:space="preserve">in table 6 </w:t>
      </w:r>
      <w:r w:rsidRPr="00592229">
        <w:t>show</w:t>
      </w:r>
      <w:r w:rsidR="009D790B" w:rsidRPr="00592229">
        <w:t xml:space="preserve"> that </w:t>
      </w:r>
      <w:r w:rsidR="00592229" w:rsidRPr="00592229">
        <w:t>TLR</w:t>
      </w:r>
      <w:r w:rsidR="009D790B" w:rsidRPr="00592229">
        <w:t xml:space="preserve">, measured as the </w:t>
      </w:r>
      <w:r w:rsidR="00592229" w:rsidRPr="00592229">
        <w:t xml:space="preserve">coefficient on </w:t>
      </w:r>
      <w:r w:rsidR="00592229" w:rsidRPr="00332BD2">
        <w:t>the interaction Post-Merger*Return*</w:t>
      </w:r>
      <w:proofErr w:type="spellStart"/>
      <w:r w:rsidR="00592229" w:rsidRPr="00332BD2">
        <w:t>NegRet</w:t>
      </w:r>
      <w:proofErr w:type="spellEnd"/>
      <w:r w:rsidR="00592229">
        <w:t xml:space="preserve"> from</w:t>
      </w:r>
      <w:r w:rsidR="009D790B" w:rsidRPr="00535FFB">
        <w:t xml:space="preserve"> </w:t>
      </w:r>
      <w:r w:rsidR="00E9135F">
        <w:t>E</w:t>
      </w:r>
      <w:r w:rsidR="009D790B" w:rsidRPr="00592229">
        <w:t xml:space="preserve">q. </w:t>
      </w:r>
      <w:r w:rsidR="00E9135F">
        <w:t>(</w:t>
      </w:r>
      <w:r w:rsidR="00061C5E" w:rsidRPr="00592229">
        <w:t>2</w:t>
      </w:r>
      <w:r w:rsidR="00E9135F">
        <w:t>)</w:t>
      </w:r>
      <w:r w:rsidR="009D790B" w:rsidRPr="00592229">
        <w:t xml:space="preserve">, </w:t>
      </w:r>
      <w:r w:rsidR="00592229" w:rsidRPr="00592229">
        <w:t xml:space="preserve">is marginally significant for the non-segment firms </w:t>
      </w:r>
      <w:r w:rsidR="00592229">
        <w:t xml:space="preserve">(column (1)) </w:t>
      </w:r>
      <w:r w:rsidR="00592229" w:rsidRPr="00592229">
        <w:t>and highly significant for the segment firms</w:t>
      </w:r>
      <w:r w:rsidR="00592229">
        <w:t xml:space="preserve"> (column (2)), indicating that bad news is incorporated more quickly into earnings after the merger than before.  To the extent that timely loss recognition is a reasonable proxy for quality of earnings, this result is consistent with an increase in earnings quality after the merger for all Euronext-listed firms.  The coefficient estimate for the segment firms is more than twice that for the non-segment firms, although the difference is not significant at conventional levels (column (3)</w:t>
      </w:r>
      <w:r w:rsidR="00F01AA8">
        <w:t xml:space="preserve"> with p-value=1.35</w:t>
      </w:r>
      <w:r w:rsidR="00592229">
        <w:t>).</w:t>
      </w:r>
      <w:r w:rsidR="000834AB">
        <w:rPr>
          <w:rStyle w:val="FootnoteReference"/>
        </w:rPr>
        <w:footnoteReference w:id="34"/>
      </w:r>
      <w:r w:rsidR="00592229">
        <w:t xml:space="preserve">  </w:t>
      </w:r>
    </w:p>
    <w:p w:rsidR="009606B1" w:rsidRDefault="00592229" w:rsidP="009606B1">
      <w:pPr>
        <w:autoSpaceDE w:val="0"/>
        <w:autoSpaceDN w:val="0"/>
        <w:adjustRightInd w:val="0"/>
        <w:spacing w:line="480" w:lineRule="auto"/>
        <w:ind w:firstLine="432"/>
        <w:jc w:val="both"/>
      </w:pPr>
      <w:r>
        <w:t xml:space="preserve">Columns (4) through (6) compare TLR for the non-segment firms with TLR for the </w:t>
      </w:r>
      <w:r w:rsidR="00535FFB">
        <w:t xml:space="preserve">low-compliance </w:t>
      </w:r>
      <w:r>
        <w:t xml:space="preserve">segment firms, and show that the coefficient on </w:t>
      </w:r>
      <w:r w:rsidRPr="00332BD2">
        <w:t>the interaction Post-Merger*Return*</w:t>
      </w:r>
      <w:proofErr w:type="spellStart"/>
      <w:r w:rsidRPr="00332BD2">
        <w:t>NegRet</w:t>
      </w:r>
      <w:proofErr w:type="spellEnd"/>
      <w:r>
        <w:t xml:space="preserve"> is not significant at conventional levels for the </w:t>
      </w:r>
      <w:r w:rsidR="00646693">
        <w:t>low-compliance</w:t>
      </w:r>
      <w:r>
        <w:t xml:space="preserve"> segment firms, nor is the difference </w:t>
      </w:r>
      <w:r w:rsidR="00F01AA8">
        <w:t xml:space="preserve">in </w:t>
      </w:r>
      <w:r>
        <w:t xml:space="preserve">TLR </w:t>
      </w:r>
      <w:r w:rsidR="00F01AA8">
        <w:t xml:space="preserve">between </w:t>
      </w:r>
      <w:r>
        <w:t xml:space="preserve">the non-segment and low-compliance segment firms.  </w:t>
      </w:r>
      <w:r w:rsidR="009606B1">
        <w:t xml:space="preserve">Columns (7) through (9) compare TLR for the non-segment firms to TLR of the high-compliance segment firms. The coefficient on </w:t>
      </w:r>
      <w:r w:rsidR="009606B1" w:rsidRPr="00332BD2">
        <w:t>the interaction Post-Merger*Return*</w:t>
      </w:r>
      <w:proofErr w:type="spellStart"/>
      <w:r w:rsidR="009606B1" w:rsidRPr="00332BD2">
        <w:t>NegRet</w:t>
      </w:r>
      <w:proofErr w:type="spellEnd"/>
      <w:r w:rsidR="009606B1">
        <w:t xml:space="preserve"> </w:t>
      </w:r>
      <w:r w:rsidR="00091AEC">
        <w:t xml:space="preserve">for the high compliance segment firms </w:t>
      </w:r>
      <w:r w:rsidR="009606B1">
        <w:t xml:space="preserve">is highly significant and more than three times the magnitude of the same coefficient for the </w:t>
      </w:r>
      <w:r>
        <w:t>non-segment firms</w:t>
      </w:r>
      <w:r w:rsidR="009606B1">
        <w:t xml:space="preserve">, and the difference is </w:t>
      </w:r>
      <w:r w:rsidR="00F01AA8">
        <w:t xml:space="preserve">statistically </w:t>
      </w:r>
      <w:r w:rsidR="009606B1">
        <w:t xml:space="preserve">significant </w:t>
      </w:r>
      <w:r w:rsidR="00656852">
        <w:t>(</w:t>
      </w:r>
      <w:r w:rsidR="009606B1">
        <w:t xml:space="preserve">at </w:t>
      </w:r>
      <w:r w:rsidR="00F42041">
        <w:t xml:space="preserve">the level of </w:t>
      </w:r>
      <w:r w:rsidR="009606B1">
        <w:t>.10</w:t>
      </w:r>
      <w:r w:rsidR="00656852">
        <w:t xml:space="preserve">, </w:t>
      </w:r>
      <w:r w:rsidR="00F42041">
        <w:t>two-sided t-test)</w:t>
      </w:r>
      <w:r w:rsidR="009606B1">
        <w:t xml:space="preserve">.  Taken together, this evidence is consistent with hypothesis H2 (that accounting quality increased for Euronext-listed firms at the time of the integration of trading platforms) and with H2B (that accounting quality increased more for </w:t>
      </w:r>
      <w:r w:rsidR="000834AB">
        <w:t>high-</w:t>
      </w:r>
      <w:r w:rsidR="000834AB">
        <w:lastRenderedPageBreak/>
        <w:t xml:space="preserve">compliance </w:t>
      </w:r>
      <w:r w:rsidR="009606B1">
        <w:t>segment firms</w:t>
      </w:r>
      <w:r w:rsidR="000834AB">
        <w:t>)</w:t>
      </w:r>
      <w:r w:rsidR="009606B1">
        <w:t xml:space="preserve">, although we are unable to document a </w:t>
      </w:r>
      <w:r w:rsidR="00F42041">
        <w:t>significant difference</w:t>
      </w:r>
      <w:r w:rsidR="009606B1">
        <w:t xml:space="preserve"> </w:t>
      </w:r>
      <w:r w:rsidR="00656852">
        <w:t xml:space="preserve">in </w:t>
      </w:r>
      <w:r w:rsidR="009606B1">
        <w:t xml:space="preserve">the increase in accounting quality </w:t>
      </w:r>
      <w:r w:rsidR="00656852">
        <w:t xml:space="preserve">between </w:t>
      </w:r>
      <w:r w:rsidR="009606B1">
        <w:t>non-segment firms and segment firms when we include the</w:t>
      </w:r>
      <w:r w:rsidR="000834AB">
        <w:t xml:space="preserve"> low-compliance</w:t>
      </w:r>
      <w:r w:rsidR="009606B1">
        <w:t xml:space="preserve"> segment firms.</w:t>
      </w:r>
    </w:p>
    <w:p w:rsidR="0066367B" w:rsidRDefault="0066367B" w:rsidP="009606B1">
      <w:pPr>
        <w:autoSpaceDE w:val="0"/>
        <w:autoSpaceDN w:val="0"/>
        <w:adjustRightInd w:val="0"/>
        <w:spacing w:line="480" w:lineRule="auto"/>
        <w:ind w:firstLine="432"/>
        <w:jc w:val="center"/>
        <w:rPr>
          <w:rFonts w:cs="Arial"/>
        </w:rPr>
      </w:pPr>
      <w:r>
        <w:rPr>
          <w:rFonts w:cs="Arial"/>
        </w:rPr>
        <w:t xml:space="preserve">[Insert Table </w:t>
      </w:r>
      <w:r w:rsidR="00061C5E">
        <w:rPr>
          <w:rFonts w:cs="Arial"/>
        </w:rPr>
        <w:t>6</w:t>
      </w:r>
      <w:r>
        <w:rPr>
          <w:rFonts w:cs="Arial"/>
        </w:rPr>
        <w:t xml:space="preserve"> </w:t>
      </w:r>
      <w:proofErr w:type="gramStart"/>
      <w:r>
        <w:rPr>
          <w:rFonts w:cs="Arial"/>
        </w:rPr>
        <w:t>About</w:t>
      </w:r>
      <w:proofErr w:type="gramEnd"/>
      <w:r>
        <w:rPr>
          <w:rFonts w:cs="Arial"/>
        </w:rPr>
        <w:t xml:space="preserve"> Here]</w:t>
      </w:r>
    </w:p>
    <w:p w:rsidR="009606B1" w:rsidRDefault="0043265F" w:rsidP="009606B1">
      <w:pPr>
        <w:spacing w:line="480" w:lineRule="auto"/>
        <w:outlineLvl w:val="0"/>
        <w:rPr>
          <w:b/>
        </w:rPr>
      </w:pPr>
      <w:r>
        <w:rPr>
          <w:b/>
          <w:color w:val="000000"/>
        </w:rPr>
        <w:t>4</w:t>
      </w:r>
      <w:r w:rsidR="001460C3">
        <w:rPr>
          <w:b/>
          <w:color w:val="000000"/>
        </w:rPr>
        <w:t>.</w:t>
      </w:r>
      <w:r w:rsidR="00091AEC">
        <w:rPr>
          <w:b/>
          <w:color w:val="000000"/>
        </w:rPr>
        <w:t>3.2</w:t>
      </w:r>
      <w:r w:rsidR="008665DA" w:rsidRPr="007337ED">
        <w:rPr>
          <w:b/>
          <w:color w:val="000000"/>
        </w:rPr>
        <w:t xml:space="preserve"> </w:t>
      </w:r>
      <w:r w:rsidR="009606B1">
        <w:rPr>
          <w:b/>
          <w:color w:val="000000"/>
        </w:rPr>
        <w:t xml:space="preserve">Non-Market Measures of </w:t>
      </w:r>
      <w:r w:rsidR="008665DA" w:rsidRPr="00235A98">
        <w:rPr>
          <w:b/>
        </w:rPr>
        <w:t>Accounting Quality</w:t>
      </w:r>
      <w:r w:rsidR="008665DA">
        <w:rPr>
          <w:b/>
        </w:rPr>
        <w:t xml:space="preserve"> </w:t>
      </w:r>
    </w:p>
    <w:p w:rsidR="00264BC5" w:rsidRDefault="009606B1" w:rsidP="00175265">
      <w:pPr>
        <w:spacing w:line="480" w:lineRule="auto"/>
        <w:jc w:val="both"/>
        <w:outlineLvl w:val="0"/>
        <w:rPr>
          <w:color w:val="000000"/>
        </w:rPr>
      </w:pPr>
      <w:r>
        <w:rPr>
          <w:b/>
        </w:rPr>
        <w:tab/>
      </w:r>
      <w:r w:rsidR="009D790B">
        <w:rPr>
          <w:color w:val="000000"/>
        </w:rPr>
        <w:t xml:space="preserve">We </w:t>
      </w:r>
      <w:r w:rsidR="0098345A">
        <w:rPr>
          <w:color w:val="000000"/>
        </w:rPr>
        <w:t>next</w:t>
      </w:r>
      <w:r w:rsidR="009D790B">
        <w:rPr>
          <w:color w:val="000000"/>
        </w:rPr>
        <w:t xml:space="preserve"> </w:t>
      </w:r>
      <w:r w:rsidR="0098345A">
        <w:rPr>
          <w:color w:val="000000"/>
        </w:rPr>
        <w:t xml:space="preserve">compare </w:t>
      </w:r>
      <w:r w:rsidR="00DC25FB">
        <w:rPr>
          <w:color w:val="000000"/>
        </w:rPr>
        <w:t xml:space="preserve">differences in </w:t>
      </w:r>
      <w:r w:rsidR="005161B8">
        <w:rPr>
          <w:color w:val="000000"/>
        </w:rPr>
        <w:t xml:space="preserve">earnings management </w:t>
      </w:r>
      <w:r w:rsidR="00DC25FB">
        <w:rPr>
          <w:color w:val="000000"/>
        </w:rPr>
        <w:t xml:space="preserve">proxies </w:t>
      </w:r>
      <w:r w:rsidR="0098345A">
        <w:rPr>
          <w:color w:val="000000"/>
        </w:rPr>
        <w:t>between segment and non-segment firms</w:t>
      </w:r>
      <w:r w:rsidR="009D790B">
        <w:rPr>
          <w:color w:val="000000"/>
        </w:rPr>
        <w:t xml:space="preserve"> </w:t>
      </w:r>
      <w:r w:rsidR="00DC25FB">
        <w:rPr>
          <w:color w:val="000000"/>
        </w:rPr>
        <w:t xml:space="preserve">from before to after </w:t>
      </w:r>
      <w:r w:rsidR="009D790B">
        <w:rPr>
          <w:color w:val="000000"/>
        </w:rPr>
        <w:t xml:space="preserve">the </w:t>
      </w:r>
      <w:r w:rsidR="0098345A">
        <w:rPr>
          <w:color w:val="000000"/>
        </w:rPr>
        <w:t xml:space="preserve">formation of </w:t>
      </w:r>
      <w:r w:rsidR="009D790B">
        <w:rPr>
          <w:color w:val="000000"/>
        </w:rPr>
        <w:t>Euronext</w:t>
      </w:r>
      <w:r w:rsidR="00DC25FB">
        <w:rPr>
          <w:color w:val="000000"/>
        </w:rPr>
        <w:t>.</w:t>
      </w:r>
      <w:r w:rsidR="0098345A">
        <w:rPr>
          <w:color w:val="000000"/>
        </w:rPr>
        <w:t xml:space="preserve">  </w:t>
      </w:r>
      <w:r w:rsidR="009D790B">
        <w:rPr>
          <w:color w:val="000000"/>
        </w:rPr>
        <w:t xml:space="preserve">These </w:t>
      </w:r>
      <w:r w:rsidR="00DC25FB">
        <w:rPr>
          <w:color w:val="000000"/>
        </w:rPr>
        <w:t>proxies for</w:t>
      </w:r>
      <w:r w:rsidR="0098345A">
        <w:rPr>
          <w:color w:val="000000"/>
        </w:rPr>
        <w:t xml:space="preserve"> earnings</w:t>
      </w:r>
      <w:r w:rsidR="00DC25FB">
        <w:rPr>
          <w:color w:val="000000"/>
        </w:rPr>
        <w:t xml:space="preserve"> management</w:t>
      </w:r>
      <w:r w:rsidR="0098345A">
        <w:rPr>
          <w:color w:val="000000"/>
        </w:rPr>
        <w:t xml:space="preserve"> </w:t>
      </w:r>
      <w:r w:rsidR="009D790B">
        <w:rPr>
          <w:color w:val="000000"/>
        </w:rPr>
        <w:t xml:space="preserve">are variability of net income relative to variability of </w:t>
      </w:r>
      <w:r w:rsidR="002C50BA">
        <w:rPr>
          <w:color w:val="000000"/>
        </w:rPr>
        <w:t>OCF</w:t>
      </w:r>
      <w:r w:rsidR="009D790B">
        <w:rPr>
          <w:color w:val="000000"/>
        </w:rPr>
        <w:t xml:space="preserve"> </w:t>
      </w:r>
      <w:r w:rsidR="00061C5E">
        <w:rPr>
          <w:color w:val="000000"/>
        </w:rPr>
        <w:t xml:space="preserve">and </w:t>
      </w:r>
      <w:r w:rsidR="009D790B">
        <w:rPr>
          <w:color w:val="000000"/>
        </w:rPr>
        <w:t xml:space="preserve">correlation between accruals and </w:t>
      </w:r>
      <w:r w:rsidR="002C50BA">
        <w:rPr>
          <w:color w:val="000000"/>
        </w:rPr>
        <w:t>OCF</w:t>
      </w:r>
      <w:r w:rsidR="00061C5E">
        <w:rPr>
          <w:color w:val="000000"/>
        </w:rPr>
        <w:t>.</w:t>
      </w:r>
      <w:r w:rsidR="00F31628">
        <w:rPr>
          <w:color w:val="000000"/>
        </w:rPr>
        <w:t xml:space="preserve"> </w:t>
      </w:r>
    </w:p>
    <w:p w:rsidR="00AB2093" w:rsidRPr="005161B8" w:rsidRDefault="00527149" w:rsidP="005161B8">
      <w:pPr>
        <w:spacing w:line="480" w:lineRule="auto"/>
        <w:jc w:val="both"/>
        <w:outlineLvl w:val="0"/>
        <w:rPr>
          <w:b/>
          <w:color w:val="000000"/>
        </w:rPr>
      </w:pPr>
      <w:r w:rsidRPr="00264BC5">
        <w:rPr>
          <w:b/>
          <w:smallCaps/>
        </w:rPr>
        <w:t>Empirical Design</w:t>
      </w:r>
      <w:r w:rsidR="00264BC5">
        <w:rPr>
          <w:b/>
          <w:color w:val="000000"/>
        </w:rPr>
        <w:t xml:space="preserve"> </w:t>
      </w:r>
      <w:r w:rsidR="00651340">
        <w:rPr>
          <w:color w:val="000000"/>
        </w:rPr>
        <w:t xml:space="preserve">We </w:t>
      </w:r>
      <w:r w:rsidR="00995271">
        <w:rPr>
          <w:color w:val="000000"/>
        </w:rPr>
        <w:t xml:space="preserve">expect </w:t>
      </w:r>
      <w:r w:rsidR="00651340">
        <w:rPr>
          <w:color w:val="000000"/>
        </w:rPr>
        <w:t xml:space="preserve">firms with higher accounting quality </w:t>
      </w:r>
      <w:r w:rsidR="00995271">
        <w:rPr>
          <w:color w:val="000000"/>
        </w:rPr>
        <w:t xml:space="preserve">to </w:t>
      </w:r>
      <w:r w:rsidR="00651340">
        <w:rPr>
          <w:color w:val="000000"/>
        </w:rPr>
        <w:t xml:space="preserve">have less smoothed earnings. Therefore, we examine statistical properties of earnings </w:t>
      </w:r>
      <w:r w:rsidR="00995271">
        <w:rPr>
          <w:color w:val="000000"/>
        </w:rPr>
        <w:t xml:space="preserve">and </w:t>
      </w:r>
      <w:r w:rsidR="00651340">
        <w:rPr>
          <w:color w:val="000000"/>
        </w:rPr>
        <w:t>related variables to measure the extent to which ear</w:t>
      </w:r>
      <w:r w:rsidR="007E2C06">
        <w:rPr>
          <w:color w:val="000000"/>
        </w:rPr>
        <w:t>n</w:t>
      </w:r>
      <w:r w:rsidR="00651340">
        <w:rPr>
          <w:color w:val="000000"/>
        </w:rPr>
        <w:t>ings have been smoothed</w:t>
      </w:r>
      <w:r w:rsidR="0032748C">
        <w:rPr>
          <w:color w:val="000000"/>
        </w:rPr>
        <w:t xml:space="preserve">.  Following </w:t>
      </w:r>
      <w:r w:rsidR="009D790B">
        <w:rPr>
          <w:color w:val="000000"/>
        </w:rPr>
        <w:t>Barth</w:t>
      </w:r>
      <w:r w:rsidR="002A3308">
        <w:rPr>
          <w:color w:val="000000"/>
        </w:rPr>
        <w:t xml:space="preserve"> et al</w:t>
      </w:r>
      <w:r w:rsidR="008365D8">
        <w:rPr>
          <w:color w:val="000000"/>
        </w:rPr>
        <w:t>.</w:t>
      </w:r>
      <w:r w:rsidR="00651340">
        <w:rPr>
          <w:color w:val="000000"/>
        </w:rPr>
        <w:t xml:space="preserve"> </w:t>
      </w:r>
      <w:r w:rsidR="00A66FC4">
        <w:rPr>
          <w:color w:val="000000"/>
        </w:rPr>
        <w:t>(</w:t>
      </w:r>
      <w:r w:rsidR="00651340">
        <w:rPr>
          <w:color w:val="000000"/>
        </w:rPr>
        <w:t>2007</w:t>
      </w:r>
      <w:r w:rsidR="00A66FC4">
        <w:rPr>
          <w:color w:val="000000"/>
        </w:rPr>
        <w:t>)</w:t>
      </w:r>
      <w:r w:rsidR="002A3308">
        <w:rPr>
          <w:color w:val="000000"/>
        </w:rPr>
        <w:t>,</w:t>
      </w:r>
      <w:r w:rsidR="009D790B">
        <w:rPr>
          <w:color w:val="000000"/>
        </w:rPr>
        <w:t xml:space="preserve"> Lang</w:t>
      </w:r>
      <w:r w:rsidR="002A3308">
        <w:rPr>
          <w:color w:val="000000"/>
        </w:rPr>
        <w:t xml:space="preserve"> et al</w:t>
      </w:r>
      <w:r w:rsidR="008365D8">
        <w:rPr>
          <w:color w:val="000000"/>
        </w:rPr>
        <w:t>.</w:t>
      </w:r>
      <w:r w:rsidR="00651340">
        <w:rPr>
          <w:color w:val="000000"/>
        </w:rPr>
        <w:t xml:space="preserve"> </w:t>
      </w:r>
      <w:r w:rsidR="00A66FC4">
        <w:rPr>
          <w:color w:val="000000"/>
        </w:rPr>
        <w:t>(</w:t>
      </w:r>
      <w:r w:rsidR="00651340">
        <w:rPr>
          <w:color w:val="000000"/>
        </w:rPr>
        <w:t>2003</w:t>
      </w:r>
      <w:r w:rsidR="00A66FC4">
        <w:rPr>
          <w:color w:val="000000"/>
        </w:rPr>
        <w:t>)</w:t>
      </w:r>
      <w:r w:rsidR="002A3308">
        <w:rPr>
          <w:color w:val="000000"/>
        </w:rPr>
        <w:t xml:space="preserve">, and </w:t>
      </w:r>
      <w:proofErr w:type="spellStart"/>
      <w:r w:rsidR="002A3308">
        <w:rPr>
          <w:color w:val="000000"/>
        </w:rPr>
        <w:t>Burgstahler</w:t>
      </w:r>
      <w:proofErr w:type="spellEnd"/>
      <w:r w:rsidR="002A3308">
        <w:rPr>
          <w:color w:val="000000"/>
        </w:rPr>
        <w:t xml:space="preserve"> et al</w:t>
      </w:r>
      <w:r w:rsidR="008365D8">
        <w:rPr>
          <w:color w:val="000000"/>
        </w:rPr>
        <w:t>.</w:t>
      </w:r>
      <w:r w:rsidR="00651340">
        <w:rPr>
          <w:color w:val="000000"/>
        </w:rPr>
        <w:t xml:space="preserve"> </w:t>
      </w:r>
      <w:r w:rsidR="00A66FC4">
        <w:rPr>
          <w:color w:val="000000"/>
        </w:rPr>
        <w:t>(</w:t>
      </w:r>
      <w:r w:rsidR="002A3308">
        <w:rPr>
          <w:color w:val="000000"/>
        </w:rPr>
        <w:t>2006</w:t>
      </w:r>
      <w:r w:rsidR="00A66FC4">
        <w:rPr>
          <w:color w:val="000000"/>
        </w:rPr>
        <w:t>)</w:t>
      </w:r>
      <w:r w:rsidR="0032748C">
        <w:rPr>
          <w:color w:val="000000"/>
        </w:rPr>
        <w:t>,</w:t>
      </w:r>
      <w:r w:rsidR="00F31628">
        <w:rPr>
          <w:color w:val="000000"/>
        </w:rPr>
        <w:t xml:space="preserve"> </w:t>
      </w:r>
      <w:r w:rsidR="00646693">
        <w:rPr>
          <w:color w:val="000000"/>
        </w:rPr>
        <w:t xml:space="preserve">our </w:t>
      </w:r>
      <w:r w:rsidR="005161B8">
        <w:rPr>
          <w:color w:val="000000"/>
        </w:rPr>
        <w:t>empirical measure</w:t>
      </w:r>
      <w:r w:rsidR="00D12E55">
        <w:rPr>
          <w:color w:val="000000"/>
        </w:rPr>
        <w:t xml:space="preserve"> </w:t>
      </w:r>
      <w:r w:rsidR="00646693">
        <w:rPr>
          <w:color w:val="000000"/>
        </w:rPr>
        <w:t xml:space="preserve">is </w:t>
      </w:r>
      <w:r w:rsidR="009D790B">
        <w:rPr>
          <w:color w:val="000000"/>
        </w:rPr>
        <w:t xml:space="preserve">the variability of residuals </w:t>
      </w:r>
      <w:r w:rsidR="00646693">
        <w:rPr>
          <w:color w:val="000000"/>
        </w:rPr>
        <w:t xml:space="preserve">from </w:t>
      </w:r>
      <w:r w:rsidR="009D790B">
        <w:rPr>
          <w:color w:val="000000"/>
        </w:rPr>
        <w:t>the following regression:</w:t>
      </w:r>
    </w:p>
    <w:p w:rsidR="00E362F4" w:rsidRDefault="00DC25FB" w:rsidP="00670D05">
      <w:pPr>
        <w:spacing w:line="480" w:lineRule="auto"/>
        <w:rPr>
          <w:color w:val="000000"/>
        </w:rPr>
      </w:pPr>
      <w:proofErr w:type="spellStart"/>
      <w:r>
        <w:rPr>
          <w:color w:val="000000"/>
        </w:rPr>
        <w:t>NI</w:t>
      </w:r>
      <w:r w:rsidR="00F65FB1">
        <w:rPr>
          <w:color w:val="000000"/>
        </w:rPr>
        <w:t>_</w:t>
      </w:r>
      <w:r w:rsidR="00AB2093">
        <w:rPr>
          <w:color w:val="000000"/>
        </w:rPr>
        <w:t>Assets</w:t>
      </w:r>
      <w:proofErr w:type="spellEnd"/>
      <w:r w:rsidR="00AB2093">
        <w:rPr>
          <w:color w:val="000000"/>
        </w:rPr>
        <w:t xml:space="preserve"> </w:t>
      </w:r>
      <w:r w:rsidR="009D790B">
        <w:rPr>
          <w:color w:val="000000"/>
        </w:rPr>
        <w:t xml:space="preserve">= </w:t>
      </w:r>
      <w:r w:rsidR="009D790B" w:rsidRPr="00937C4F">
        <w:rPr>
          <w:rFonts w:ascii="Symbol" w:hAnsi="Symbol"/>
          <w:color w:val="000000"/>
        </w:rPr>
        <w:t></w:t>
      </w:r>
      <w:r w:rsidR="009D790B" w:rsidRPr="00937C4F">
        <w:rPr>
          <w:color w:val="000000"/>
          <w:vertAlign w:val="subscript"/>
        </w:rPr>
        <w:t>0</w:t>
      </w:r>
      <w:r w:rsidR="009D790B">
        <w:rPr>
          <w:color w:val="000000"/>
        </w:rPr>
        <w:t xml:space="preserve"> + </w:t>
      </w:r>
      <w:r w:rsidR="009D790B" w:rsidRPr="00937C4F">
        <w:rPr>
          <w:rFonts w:ascii="Symbol" w:hAnsi="Symbol"/>
          <w:color w:val="000000"/>
        </w:rPr>
        <w:t></w:t>
      </w:r>
      <w:r w:rsidR="009D790B" w:rsidRPr="00937C4F">
        <w:rPr>
          <w:color w:val="000000"/>
          <w:vertAlign w:val="subscript"/>
        </w:rPr>
        <w:t>1</w:t>
      </w:r>
      <w:r w:rsidR="00A86B5E">
        <w:rPr>
          <w:color w:val="000000"/>
        </w:rPr>
        <w:t>Size</w:t>
      </w:r>
      <w:r w:rsidR="009D790B">
        <w:rPr>
          <w:color w:val="000000"/>
        </w:rPr>
        <w:t xml:space="preserve"> + </w:t>
      </w:r>
      <w:r w:rsidR="009D790B" w:rsidRPr="00937C4F">
        <w:rPr>
          <w:rFonts w:ascii="Symbol" w:hAnsi="Symbol"/>
          <w:color w:val="000000"/>
        </w:rPr>
        <w:t></w:t>
      </w:r>
      <w:r w:rsidR="009D790B" w:rsidRPr="00937C4F">
        <w:rPr>
          <w:color w:val="000000"/>
          <w:vertAlign w:val="subscript"/>
        </w:rPr>
        <w:t>2</w:t>
      </w:r>
      <w:r w:rsidR="009D790B">
        <w:rPr>
          <w:color w:val="000000"/>
        </w:rPr>
        <w:t xml:space="preserve">Sales Growth + </w:t>
      </w:r>
      <w:r w:rsidR="009D790B" w:rsidRPr="00937C4F">
        <w:rPr>
          <w:rFonts w:ascii="Symbol" w:hAnsi="Symbol"/>
          <w:color w:val="000000"/>
        </w:rPr>
        <w:t></w:t>
      </w:r>
      <w:r w:rsidR="009D790B" w:rsidRPr="00937C4F">
        <w:rPr>
          <w:color w:val="000000"/>
          <w:vertAlign w:val="subscript"/>
        </w:rPr>
        <w:t>3</w:t>
      </w:r>
      <w:r>
        <w:rPr>
          <w:color w:val="000000"/>
        </w:rPr>
        <w:t>OCF</w:t>
      </w:r>
      <w:r w:rsidR="00F65FB1">
        <w:rPr>
          <w:color w:val="000000"/>
        </w:rPr>
        <w:t>_a</w:t>
      </w:r>
      <w:r w:rsidR="009D790B">
        <w:rPr>
          <w:color w:val="000000"/>
        </w:rPr>
        <w:t xml:space="preserve">ssets + </w:t>
      </w:r>
      <w:r w:rsidR="009D790B" w:rsidRPr="00937C4F">
        <w:rPr>
          <w:rFonts w:ascii="Symbol" w:hAnsi="Symbol"/>
          <w:color w:val="000000"/>
        </w:rPr>
        <w:t></w:t>
      </w:r>
      <w:r w:rsidR="009D790B" w:rsidRPr="00937C4F">
        <w:rPr>
          <w:color w:val="000000"/>
          <w:vertAlign w:val="subscript"/>
        </w:rPr>
        <w:t>4</w:t>
      </w:r>
      <w:r w:rsidR="009D790B">
        <w:rPr>
          <w:color w:val="000000"/>
        </w:rPr>
        <w:t xml:space="preserve">Leverage + </w:t>
      </w:r>
      <w:r w:rsidR="009D790B" w:rsidRPr="00937C4F">
        <w:rPr>
          <w:rFonts w:ascii="Symbol" w:hAnsi="Symbol"/>
          <w:color w:val="000000"/>
        </w:rPr>
        <w:t></w:t>
      </w:r>
      <w:r w:rsidR="009D790B" w:rsidRPr="00937C4F">
        <w:rPr>
          <w:color w:val="000000"/>
          <w:vertAlign w:val="subscript"/>
        </w:rPr>
        <w:t>5</w:t>
      </w:r>
      <w:r w:rsidR="009D790B">
        <w:rPr>
          <w:color w:val="000000"/>
        </w:rPr>
        <w:t xml:space="preserve">Turn </w:t>
      </w:r>
    </w:p>
    <w:p w:rsidR="009D790B" w:rsidRDefault="00DB48AF" w:rsidP="00670D05">
      <w:pPr>
        <w:spacing w:line="480" w:lineRule="auto"/>
        <w:rPr>
          <w:color w:val="000000"/>
        </w:rPr>
      </w:pPr>
      <w:r>
        <w:rPr>
          <w:color w:val="000000"/>
        </w:rPr>
        <w:tab/>
      </w:r>
      <w:r w:rsidR="009D790B">
        <w:rPr>
          <w:color w:val="000000"/>
        </w:rPr>
        <w:t xml:space="preserve">+ </w:t>
      </w:r>
      <w:r w:rsidR="009D790B" w:rsidRPr="00937C4F">
        <w:rPr>
          <w:rFonts w:ascii="Symbol" w:hAnsi="Symbol"/>
          <w:color w:val="000000"/>
        </w:rPr>
        <w:t></w:t>
      </w:r>
      <w:r w:rsidR="009D790B" w:rsidRPr="00937C4F">
        <w:rPr>
          <w:color w:val="000000"/>
          <w:vertAlign w:val="subscript"/>
        </w:rPr>
        <w:t>6</w:t>
      </w:r>
      <w:r w:rsidR="009D790B">
        <w:rPr>
          <w:color w:val="000000"/>
        </w:rPr>
        <w:t xml:space="preserve">Auditor + </w:t>
      </w:r>
      <w:r w:rsidR="009D790B" w:rsidRPr="00937C4F">
        <w:rPr>
          <w:rFonts w:ascii="Symbol" w:hAnsi="Symbol"/>
          <w:color w:val="000000"/>
        </w:rPr>
        <w:t></w:t>
      </w:r>
      <w:r w:rsidR="009D790B" w:rsidRPr="00937C4F">
        <w:rPr>
          <w:color w:val="000000"/>
          <w:vertAlign w:val="subscript"/>
        </w:rPr>
        <w:t>7</w:t>
      </w:r>
      <w:r w:rsidR="00F31628">
        <w:rPr>
          <w:color w:val="000000"/>
        </w:rPr>
        <w:t>USCROSSLISTED</w:t>
      </w:r>
      <w:r w:rsidR="009D790B">
        <w:rPr>
          <w:color w:val="000000"/>
        </w:rPr>
        <w:t xml:space="preserve"> + </w:t>
      </w:r>
      <w:r w:rsidR="009D790B" w:rsidRPr="00937C4F">
        <w:rPr>
          <w:rFonts w:ascii="Symbol" w:hAnsi="Symbol"/>
          <w:color w:val="000000"/>
        </w:rPr>
        <w:t></w:t>
      </w:r>
      <w:r w:rsidR="009D790B" w:rsidRPr="00937C4F">
        <w:rPr>
          <w:color w:val="000000"/>
          <w:vertAlign w:val="subscript"/>
        </w:rPr>
        <w:t>8</w:t>
      </w:r>
      <w:r w:rsidR="00F65FB1">
        <w:rPr>
          <w:color w:val="000000"/>
        </w:rPr>
        <w:t xml:space="preserve"># </w:t>
      </w:r>
      <w:proofErr w:type="spellStart"/>
      <w:r w:rsidR="009D790B">
        <w:rPr>
          <w:color w:val="000000"/>
        </w:rPr>
        <w:t>FExchanges</w:t>
      </w:r>
      <w:proofErr w:type="spellEnd"/>
      <w:r w:rsidR="009D790B">
        <w:rPr>
          <w:color w:val="000000"/>
        </w:rPr>
        <w:t xml:space="preserve"> + </w:t>
      </w:r>
      <w:r w:rsidR="009D790B" w:rsidRPr="00937C4F">
        <w:rPr>
          <w:rFonts w:ascii="Symbol" w:hAnsi="Symbol"/>
          <w:color w:val="000000"/>
        </w:rPr>
        <w:t></w:t>
      </w:r>
      <w:proofErr w:type="spellStart"/>
      <w:r w:rsidR="009D790B" w:rsidRPr="00937C4F">
        <w:rPr>
          <w:color w:val="000000"/>
          <w:vertAlign w:val="subscript"/>
        </w:rPr>
        <w:t>k</w:t>
      </w:r>
      <w:r w:rsidR="009D790B">
        <w:rPr>
          <w:color w:val="000000"/>
        </w:rPr>
        <w:t>Exchange</w:t>
      </w:r>
      <w:proofErr w:type="spellEnd"/>
      <w:r w:rsidR="009D790B">
        <w:rPr>
          <w:color w:val="000000"/>
        </w:rPr>
        <w:t xml:space="preserve"> +</w:t>
      </w:r>
      <w:r w:rsidR="00E362F4">
        <w:rPr>
          <w:color w:val="000000"/>
        </w:rPr>
        <w:t xml:space="preserve"> </w:t>
      </w:r>
      <w:r w:rsidR="009D790B" w:rsidRPr="00937C4F">
        <w:rPr>
          <w:rFonts w:ascii="Symbol" w:hAnsi="Symbol"/>
          <w:color w:val="000000"/>
        </w:rPr>
        <w:t></w:t>
      </w:r>
      <w:proofErr w:type="spellStart"/>
      <w:r w:rsidR="009D790B" w:rsidRPr="00937C4F">
        <w:rPr>
          <w:color w:val="000000"/>
          <w:vertAlign w:val="subscript"/>
        </w:rPr>
        <w:t>k</w:t>
      </w:r>
      <w:r w:rsidR="009D790B">
        <w:rPr>
          <w:color w:val="000000"/>
        </w:rPr>
        <w:t>Industry</w:t>
      </w:r>
      <w:proofErr w:type="spellEnd"/>
      <w:r w:rsidR="009D790B">
        <w:rPr>
          <w:color w:val="000000"/>
        </w:rPr>
        <w:t xml:space="preserve"> + </w:t>
      </w:r>
      <w:r w:rsidR="009D790B" w:rsidRPr="00937C4F">
        <w:rPr>
          <w:rFonts w:ascii="Symbol" w:hAnsi="Symbol"/>
          <w:color w:val="000000"/>
        </w:rPr>
        <w:t></w:t>
      </w:r>
      <w:r w:rsidR="009D790B" w:rsidRPr="00937C4F">
        <w:rPr>
          <w:color w:val="000000"/>
          <w:vertAlign w:val="subscript"/>
        </w:rPr>
        <w:t>it</w:t>
      </w:r>
      <w:r w:rsidR="009D790B">
        <w:rPr>
          <w:color w:val="000000"/>
        </w:rPr>
        <w:t xml:space="preserve">  </w:t>
      </w:r>
      <w:r>
        <w:rPr>
          <w:color w:val="000000"/>
        </w:rPr>
        <w:tab/>
      </w:r>
      <w:r w:rsidR="00BF373E">
        <w:rPr>
          <w:color w:val="000000"/>
        </w:rPr>
        <w:t>(</w:t>
      </w:r>
      <w:r w:rsidR="009D790B">
        <w:rPr>
          <w:color w:val="000000"/>
        </w:rPr>
        <w:t xml:space="preserve">Eq. </w:t>
      </w:r>
      <w:r w:rsidR="00D12E55">
        <w:rPr>
          <w:color w:val="000000"/>
        </w:rPr>
        <w:t>3</w:t>
      </w:r>
      <w:r w:rsidR="00BF373E">
        <w:rPr>
          <w:color w:val="000000"/>
        </w:rPr>
        <w:t>)</w:t>
      </w:r>
    </w:p>
    <w:p w:rsidR="00527149" w:rsidRDefault="009D790B" w:rsidP="007E2C06">
      <w:pPr>
        <w:spacing w:line="480" w:lineRule="auto"/>
        <w:jc w:val="both"/>
        <w:rPr>
          <w:color w:val="000000"/>
        </w:rPr>
      </w:pPr>
      <w:proofErr w:type="gramStart"/>
      <w:r>
        <w:rPr>
          <w:color w:val="000000"/>
        </w:rPr>
        <w:t>estimated</w:t>
      </w:r>
      <w:proofErr w:type="gramEnd"/>
      <w:r>
        <w:rPr>
          <w:color w:val="000000"/>
        </w:rPr>
        <w:t xml:space="preserve"> at the firm-year level, where </w:t>
      </w:r>
      <w:r w:rsidR="00963670">
        <w:rPr>
          <w:color w:val="000000"/>
        </w:rPr>
        <w:t xml:space="preserve">firm </w:t>
      </w:r>
      <w:r>
        <w:rPr>
          <w:color w:val="000000"/>
        </w:rPr>
        <w:t xml:space="preserve">and </w:t>
      </w:r>
      <w:r w:rsidR="00963670">
        <w:rPr>
          <w:color w:val="000000"/>
        </w:rPr>
        <w:t xml:space="preserve">year </w:t>
      </w:r>
      <w:r>
        <w:rPr>
          <w:color w:val="000000"/>
        </w:rPr>
        <w:t xml:space="preserve">subscripts </w:t>
      </w:r>
      <w:r w:rsidR="00E963CA">
        <w:rPr>
          <w:color w:val="000000"/>
        </w:rPr>
        <w:t>are</w:t>
      </w:r>
      <w:r>
        <w:rPr>
          <w:color w:val="000000"/>
        </w:rPr>
        <w:t xml:space="preserve"> suppressed, and all variables are as defined previously and on table </w:t>
      </w:r>
      <w:r w:rsidR="00E963CA">
        <w:rPr>
          <w:color w:val="000000"/>
        </w:rPr>
        <w:t>2</w:t>
      </w:r>
      <w:r>
        <w:rPr>
          <w:color w:val="000000"/>
        </w:rPr>
        <w:t>.</w:t>
      </w:r>
      <w:r>
        <w:rPr>
          <w:rStyle w:val="FootnoteReference"/>
          <w:color w:val="000000"/>
        </w:rPr>
        <w:footnoteReference w:id="35"/>
      </w:r>
      <w:r>
        <w:rPr>
          <w:color w:val="000000"/>
        </w:rPr>
        <w:t xml:space="preserve"> “Exchange” </w:t>
      </w:r>
      <w:r w:rsidR="00527149">
        <w:rPr>
          <w:color w:val="000000"/>
        </w:rPr>
        <w:t>and “Industry” indicate</w:t>
      </w:r>
      <w:r>
        <w:rPr>
          <w:color w:val="000000"/>
        </w:rPr>
        <w:t xml:space="preserve"> that the regression includes exchange </w:t>
      </w:r>
      <w:r w:rsidR="00527149">
        <w:rPr>
          <w:color w:val="000000"/>
        </w:rPr>
        <w:t>and industry fixed effects</w:t>
      </w:r>
      <w:r w:rsidR="00F31628">
        <w:rPr>
          <w:color w:val="000000"/>
        </w:rPr>
        <w:t xml:space="preserve">. </w:t>
      </w:r>
      <w:r w:rsidR="00DB1AAC">
        <w:rPr>
          <w:color w:val="000000"/>
        </w:rPr>
        <w:t>T</w:t>
      </w:r>
      <w:r>
        <w:rPr>
          <w:color w:val="000000"/>
        </w:rPr>
        <w:t xml:space="preserve">able </w:t>
      </w:r>
      <w:r w:rsidR="00061C5E">
        <w:rPr>
          <w:color w:val="000000"/>
        </w:rPr>
        <w:t>7</w:t>
      </w:r>
      <w:r>
        <w:rPr>
          <w:color w:val="000000"/>
        </w:rPr>
        <w:t xml:space="preserve"> presents in column </w:t>
      </w:r>
      <w:r w:rsidR="00091AEC">
        <w:rPr>
          <w:color w:val="000000"/>
        </w:rPr>
        <w:t>(</w:t>
      </w:r>
      <w:r>
        <w:rPr>
          <w:color w:val="000000"/>
        </w:rPr>
        <w:t>1</w:t>
      </w:r>
      <w:r w:rsidR="00091AEC">
        <w:rPr>
          <w:color w:val="000000"/>
        </w:rPr>
        <w:t>)</w:t>
      </w:r>
      <w:r>
        <w:rPr>
          <w:color w:val="000000"/>
        </w:rPr>
        <w:t xml:space="preserve"> the details of this estimation, and shows that all variables are significantly associated with net income deflated by total assets, and the </w:t>
      </w:r>
      <w:r w:rsidR="009244C7">
        <w:rPr>
          <w:color w:val="000000"/>
        </w:rPr>
        <w:t xml:space="preserve">adjusted </w:t>
      </w:r>
      <w:r>
        <w:rPr>
          <w:color w:val="000000"/>
        </w:rPr>
        <w:t>R</w:t>
      </w:r>
      <w:r w:rsidRPr="00E46CC9">
        <w:rPr>
          <w:color w:val="000000"/>
          <w:vertAlign w:val="superscript"/>
        </w:rPr>
        <w:t>2</w:t>
      </w:r>
      <w:r w:rsidRPr="00E46CC9">
        <w:rPr>
          <w:color w:val="000000"/>
        </w:rPr>
        <w:t xml:space="preserve"> </w:t>
      </w:r>
      <w:r>
        <w:rPr>
          <w:color w:val="000000"/>
        </w:rPr>
        <w:t>of the regression is 41%</w:t>
      </w:r>
      <w:r w:rsidR="00F31628">
        <w:rPr>
          <w:color w:val="000000"/>
        </w:rPr>
        <w:t xml:space="preserve">. </w:t>
      </w:r>
      <w:r>
        <w:rPr>
          <w:color w:val="000000"/>
        </w:rPr>
        <w:t>The firm-year-specific residuals o</w:t>
      </w:r>
      <w:r w:rsidR="009244C7">
        <w:rPr>
          <w:color w:val="000000"/>
        </w:rPr>
        <w:t>f this regression represent the</w:t>
      </w:r>
      <w:r>
        <w:rPr>
          <w:color w:val="000000"/>
        </w:rPr>
        <w:t xml:space="preserve"> part of net income that cannot be explained by the factor</w:t>
      </w:r>
      <w:r w:rsidR="00527149">
        <w:rPr>
          <w:color w:val="000000"/>
        </w:rPr>
        <w:t xml:space="preserve">s we include in the regression. </w:t>
      </w:r>
    </w:p>
    <w:p w:rsidR="00AB2093" w:rsidRDefault="00091AEC" w:rsidP="005161B8">
      <w:pPr>
        <w:spacing w:line="480" w:lineRule="auto"/>
        <w:ind w:firstLine="720"/>
        <w:jc w:val="both"/>
        <w:rPr>
          <w:color w:val="000000"/>
        </w:rPr>
      </w:pPr>
      <w:r>
        <w:rPr>
          <w:color w:val="000000"/>
        </w:rPr>
        <w:lastRenderedPageBreak/>
        <w:t>To control for the underlying variability of sample firms' earnings process, we</w:t>
      </w:r>
      <w:r w:rsidR="00651340">
        <w:rPr>
          <w:color w:val="000000"/>
        </w:rPr>
        <w:t xml:space="preserve"> </w:t>
      </w:r>
      <w:r w:rsidR="009D790B">
        <w:rPr>
          <w:color w:val="000000"/>
        </w:rPr>
        <w:t xml:space="preserve">compare the variability </w:t>
      </w:r>
      <w:r>
        <w:rPr>
          <w:color w:val="000000"/>
        </w:rPr>
        <w:t xml:space="preserve">of net income </w:t>
      </w:r>
      <w:r w:rsidR="00651340">
        <w:rPr>
          <w:color w:val="000000"/>
        </w:rPr>
        <w:t xml:space="preserve">to the variability of the underlying </w:t>
      </w:r>
      <w:r w:rsidR="002C50BA">
        <w:rPr>
          <w:color w:val="000000"/>
        </w:rPr>
        <w:t>OCF</w:t>
      </w:r>
      <w:r w:rsidR="00651340">
        <w:rPr>
          <w:color w:val="000000"/>
        </w:rPr>
        <w:t xml:space="preserve"> </w:t>
      </w:r>
      <w:r w:rsidR="009D790B">
        <w:rPr>
          <w:color w:val="000000"/>
        </w:rPr>
        <w:t xml:space="preserve">for </w:t>
      </w:r>
      <w:r w:rsidR="009244C7">
        <w:rPr>
          <w:color w:val="000000"/>
        </w:rPr>
        <w:t xml:space="preserve">both </w:t>
      </w:r>
      <w:r w:rsidR="009D790B">
        <w:rPr>
          <w:color w:val="000000"/>
        </w:rPr>
        <w:t xml:space="preserve">the segment </w:t>
      </w:r>
      <w:r w:rsidR="009244C7">
        <w:rPr>
          <w:color w:val="000000"/>
        </w:rPr>
        <w:t>and non-segment firms in the pre- vs. post-merger periods</w:t>
      </w:r>
      <w:r w:rsidR="00DB1AAC">
        <w:rPr>
          <w:color w:val="000000"/>
        </w:rPr>
        <w:t>.</w:t>
      </w:r>
      <w:r w:rsidR="00DB1AAC">
        <w:rPr>
          <w:rStyle w:val="FootnoteReference"/>
          <w:color w:val="000000"/>
        </w:rPr>
        <w:footnoteReference w:id="36"/>
      </w:r>
      <w:r w:rsidR="00F31628">
        <w:rPr>
          <w:color w:val="000000"/>
        </w:rPr>
        <w:t xml:space="preserve"> </w:t>
      </w:r>
      <w:r w:rsidR="00DB1AAC">
        <w:rPr>
          <w:color w:val="000000"/>
        </w:rPr>
        <w:t xml:space="preserve"> </w:t>
      </w:r>
      <w:r w:rsidR="009D790B">
        <w:rPr>
          <w:color w:val="000000"/>
        </w:rPr>
        <w:t xml:space="preserve">We expect that for a given level of volatility in </w:t>
      </w:r>
      <w:r w:rsidR="002C50BA">
        <w:rPr>
          <w:color w:val="000000"/>
        </w:rPr>
        <w:t>OCF</w:t>
      </w:r>
      <w:r w:rsidR="009D790B">
        <w:rPr>
          <w:color w:val="000000"/>
        </w:rPr>
        <w:t>, higher volatility of net income indicates that it has been subject to less earnings management and is therefore of higher quality</w:t>
      </w:r>
      <w:r w:rsidR="00F31628">
        <w:rPr>
          <w:color w:val="000000"/>
        </w:rPr>
        <w:t xml:space="preserve">. </w:t>
      </w:r>
      <w:r w:rsidR="0032748C">
        <w:rPr>
          <w:color w:val="000000"/>
        </w:rPr>
        <w:t>We measure t</w:t>
      </w:r>
      <w:r w:rsidR="009D790B">
        <w:rPr>
          <w:color w:val="000000"/>
        </w:rPr>
        <w:t xml:space="preserve">he variability of net income as the standard deviation of the residuals from Eq. </w:t>
      </w:r>
      <w:r>
        <w:rPr>
          <w:color w:val="000000"/>
        </w:rPr>
        <w:t>(</w:t>
      </w:r>
      <w:r w:rsidR="00D12E55">
        <w:rPr>
          <w:color w:val="000000"/>
        </w:rPr>
        <w:t>3</w:t>
      </w:r>
      <w:r>
        <w:rPr>
          <w:color w:val="000000"/>
        </w:rPr>
        <w:t>)</w:t>
      </w:r>
      <w:r w:rsidR="009D790B">
        <w:rPr>
          <w:color w:val="000000"/>
        </w:rPr>
        <w:t xml:space="preserve">, and the variability of </w:t>
      </w:r>
      <w:r w:rsidR="002C50BA">
        <w:rPr>
          <w:color w:val="000000"/>
        </w:rPr>
        <w:t xml:space="preserve">OCF </w:t>
      </w:r>
      <w:r>
        <w:rPr>
          <w:color w:val="000000"/>
        </w:rPr>
        <w:t>as residual</w:t>
      </w:r>
      <w:r w:rsidR="009D790B">
        <w:rPr>
          <w:color w:val="000000"/>
        </w:rPr>
        <w:t xml:space="preserve"> standard deviation </w:t>
      </w:r>
      <w:r w:rsidR="00BD2543">
        <w:rPr>
          <w:color w:val="000000"/>
        </w:rPr>
        <w:t xml:space="preserve">from the following </w:t>
      </w:r>
      <w:r w:rsidR="009D790B">
        <w:rPr>
          <w:color w:val="000000"/>
        </w:rPr>
        <w:t>regression:</w:t>
      </w:r>
    </w:p>
    <w:p w:rsidR="00DB48AF" w:rsidRDefault="00DC25FB" w:rsidP="00AB2093">
      <w:pPr>
        <w:spacing w:line="360" w:lineRule="auto"/>
        <w:rPr>
          <w:color w:val="000000"/>
        </w:rPr>
      </w:pPr>
      <w:proofErr w:type="spellStart"/>
      <w:r>
        <w:rPr>
          <w:color w:val="000000"/>
        </w:rPr>
        <w:t>OCF</w:t>
      </w:r>
      <w:r w:rsidR="002E347A">
        <w:rPr>
          <w:color w:val="000000"/>
        </w:rPr>
        <w:t>_</w:t>
      </w:r>
      <w:r w:rsidR="00AB2093">
        <w:rPr>
          <w:color w:val="000000"/>
        </w:rPr>
        <w:t>Assets</w:t>
      </w:r>
      <w:proofErr w:type="spellEnd"/>
      <w:r w:rsidR="00AB2093">
        <w:rPr>
          <w:color w:val="000000"/>
        </w:rPr>
        <w:t xml:space="preserve"> </w:t>
      </w:r>
      <w:r w:rsidR="009D790B">
        <w:rPr>
          <w:color w:val="000000"/>
        </w:rPr>
        <w:t xml:space="preserve">= </w:t>
      </w:r>
      <w:r w:rsidR="009D790B" w:rsidRPr="00937C4F">
        <w:rPr>
          <w:rFonts w:ascii="Symbol" w:hAnsi="Symbol"/>
          <w:color w:val="000000"/>
        </w:rPr>
        <w:t></w:t>
      </w:r>
      <w:r w:rsidR="009D790B" w:rsidRPr="00937C4F">
        <w:rPr>
          <w:color w:val="000000"/>
          <w:vertAlign w:val="subscript"/>
        </w:rPr>
        <w:t>0</w:t>
      </w:r>
      <w:r w:rsidR="009D790B">
        <w:rPr>
          <w:color w:val="000000"/>
        </w:rPr>
        <w:t xml:space="preserve"> + </w:t>
      </w:r>
      <w:r w:rsidR="009D790B" w:rsidRPr="00937C4F">
        <w:rPr>
          <w:rFonts w:ascii="Symbol" w:hAnsi="Symbol"/>
          <w:color w:val="000000"/>
        </w:rPr>
        <w:t></w:t>
      </w:r>
      <w:r w:rsidR="009D790B" w:rsidRPr="00937C4F">
        <w:rPr>
          <w:color w:val="000000"/>
          <w:vertAlign w:val="subscript"/>
        </w:rPr>
        <w:t>1</w:t>
      </w:r>
      <w:r w:rsidR="00A86B5E">
        <w:rPr>
          <w:color w:val="000000"/>
        </w:rPr>
        <w:t>Size</w:t>
      </w:r>
      <w:r w:rsidR="009D790B">
        <w:rPr>
          <w:color w:val="000000"/>
        </w:rPr>
        <w:t xml:space="preserve"> + </w:t>
      </w:r>
      <w:r w:rsidR="009D790B" w:rsidRPr="00937C4F">
        <w:rPr>
          <w:rFonts w:ascii="Symbol" w:hAnsi="Symbol"/>
          <w:color w:val="000000"/>
        </w:rPr>
        <w:t></w:t>
      </w:r>
      <w:r w:rsidR="009D790B" w:rsidRPr="00937C4F">
        <w:rPr>
          <w:color w:val="000000"/>
          <w:vertAlign w:val="subscript"/>
        </w:rPr>
        <w:t>2</w:t>
      </w:r>
      <w:r w:rsidR="00C9694E">
        <w:rPr>
          <w:color w:val="000000"/>
        </w:rPr>
        <w:t>Sales G</w:t>
      </w:r>
      <w:r w:rsidR="009D790B">
        <w:rPr>
          <w:color w:val="000000"/>
        </w:rPr>
        <w:t xml:space="preserve">rowth + </w:t>
      </w:r>
      <w:r w:rsidR="009D790B" w:rsidRPr="00937C4F">
        <w:rPr>
          <w:rFonts w:ascii="Symbol" w:hAnsi="Symbol"/>
          <w:color w:val="000000"/>
        </w:rPr>
        <w:t></w:t>
      </w:r>
      <w:r w:rsidR="009D790B" w:rsidRPr="00937C4F">
        <w:rPr>
          <w:color w:val="000000"/>
          <w:vertAlign w:val="subscript"/>
        </w:rPr>
        <w:t>3</w:t>
      </w:r>
      <w:r w:rsidR="009D790B">
        <w:rPr>
          <w:color w:val="000000"/>
        </w:rPr>
        <w:t xml:space="preserve">Leverage + </w:t>
      </w:r>
      <w:r w:rsidR="009D790B" w:rsidRPr="00937C4F">
        <w:rPr>
          <w:rFonts w:ascii="Symbol" w:hAnsi="Symbol"/>
          <w:color w:val="000000"/>
        </w:rPr>
        <w:t></w:t>
      </w:r>
      <w:r w:rsidR="009D790B">
        <w:rPr>
          <w:color w:val="000000"/>
          <w:vertAlign w:val="subscript"/>
        </w:rPr>
        <w:t>4</w:t>
      </w:r>
      <w:r w:rsidR="009D790B">
        <w:rPr>
          <w:color w:val="000000"/>
        </w:rPr>
        <w:t>Turn</w:t>
      </w:r>
      <w:r w:rsidR="00E54AB3">
        <w:rPr>
          <w:color w:val="000000"/>
        </w:rPr>
        <w:t xml:space="preserve"> +</w:t>
      </w:r>
      <w:r w:rsidR="009D790B">
        <w:rPr>
          <w:color w:val="000000"/>
        </w:rPr>
        <w:t xml:space="preserve"> </w:t>
      </w:r>
      <w:r w:rsidR="009D790B" w:rsidRPr="00937C4F">
        <w:rPr>
          <w:rFonts w:ascii="Symbol" w:hAnsi="Symbol"/>
          <w:color w:val="000000"/>
        </w:rPr>
        <w:t></w:t>
      </w:r>
      <w:r w:rsidR="009D790B">
        <w:rPr>
          <w:color w:val="000000"/>
          <w:vertAlign w:val="subscript"/>
        </w:rPr>
        <w:t>5</w:t>
      </w:r>
      <w:r w:rsidR="009D790B">
        <w:rPr>
          <w:color w:val="000000"/>
        </w:rPr>
        <w:t>Audi</w:t>
      </w:r>
      <w:r w:rsidR="00DB48AF">
        <w:rPr>
          <w:color w:val="000000"/>
        </w:rPr>
        <w:t xml:space="preserve">t </w:t>
      </w:r>
    </w:p>
    <w:p w:rsidR="009D790B" w:rsidRDefault="00DB48AF" w:rsidP="00844E32">
      <w:pPr>
        <w:spacing w:line="480" w:lineRule="auto"/>
        <w:rPr>
          <w:color w:val="000000"/>
        </w:rPr>
      </w:pPr>
      <w:r>
        <w:rPr>
          <w:color w:val="000000"/>
        </w:rPr>
        <w:tab/>
        <w:t xml:space="preserve">+ </w:t>
      </w:r>
      <w:r w:rsidR="009D790B" w:rsidRPr="00937C4F">
        <w:rPr>
          <w:rFonts w:ascii="Symbol" w:hAnsi="Symbol"/>
          <w:color w:val="000000"/>
        </w:rPr>
        <w:t></w:t>
      </w:r>
      <w:r w:rsidR="009D790B">
        <w:rPr>
          <w:color w:val="000000"/>
          <w:vertAlign w:val="subscript"/>
        </w:rPr>
        <w:t>6</w:t>
      </w:r>
      <w:r w:rsidR="009D790B">
        <w:rPr>
          <w:color w:val="000000"/>
        </w:rPr>
        <w:t>US</w:t>
      </w:r>
      <w:r w:rsidR="00BF373E">
        <w:rPr>
          <w:color w:val="000000"/>
        </w:rPr>
        <w:t>CROSSLISTED</w:t>
      </w:r>
      <w:r w:rsidR="009D790B">
        <w:rPr>
          <w:color w:val="000000"/>
        </w:rPr>
        <w:t xml:space="preserve"> + </w:t>
      </w:r>
      <w:r w:rsidR="009D790B" w:rsidRPr="00937C4F">
        <w:rPr>
          <w:rFonts w:ascii="Symbol" w:hAnsi="Symbol"/>
          <w:color w:val="000000"/>
        </w:rPr>
        <w:t></w:t>
      </w:r>
      <w:r w:rsidR="009D790B">
        <w:rPr>
          <w:color w:val="000000"/>
          <w:vertAlign w:val="subscript"/>
        </w:rPr>
        <w:t>7</w:t>
      </w:r>
      <w:r w:rsidR="00F65FB1">
        <w:rPr>
          <w:color w:val="000000"/>
        </w:rPr>
        <w:t xml:space="preserve"># </w:t>
      </w:r>
      <w:proofErr w:type="spellStart"/>
      <w:r w:rsidR="009D790B">
        <w:rPr>
          <w:color w:val="000000"/>
        </w:rPr>
        <w:t>FExchanges</w:t>
      </w:r>
      <w:proofErr w:type="spellEnd"/>
      <w:r w:rsidR="009D790B">
        <w:rPr>
          <w:color w:val="000000"/>
        </w:rPr>
        <w:t xml:space="preserve"> + </w:t>
      </w:r>
      <w:r w:rsidR="009D790B" w:rsidRPr="00937C4F">
        <w:rPr>
          <w:rFonts w:ascii="Symbol" w:hAnsi="Symbol"/>
          <w:color w:val="000000"/>
        </w:rPr>
        <w:t></w:t>
      </w:r>
      <w:proofErr w:type="spellStart"/>
      <w:proofErr w:type="gramStart"/>
      <w:r w:rsidR="009D790B" w:rsidRPr="00937C4F">
        <w:rPr>
          <w:color w:val="000000"/>
          <w:vertAlign w:val="subscript"/>
        </w:rPr>
        <w:t>k</w:t>
      </w:r>
      <w:r w:rsidR="009D790B">
        <w:rPr>
          <w:color w:val="000000"/>
        </w:rPr>
        <w:t>Exchange</w:t>
      </w:r>
      <w:proofErr w:type="spellEnd"/>
      <w:r w:rsidR="009D790B">
        <w:rPr>
          <w:color w:val="000000"/>
        </w:rPr>
        <w:t xml:space="preserve"> </w:t>
      </w:r>
      <w:r w:rsidR="00C9694E">
        <w:rPr>
          <w:color w:val="000000"/>
        </w:rPr>
        <w:t xml:space="preserve"> </w:t>
      </w:r>
      <w:r w:rsidR="009D790B">
        <w:rPr>
          <w:color w:val="000000"/>
        </w:rPr>
        <w:t>+</w:t>
      </w:r>
      <w:proofErr w:type="gramEnd"/>
      <w:r w:rsidR="009D790B">
        <w:rPr>
          <w:color w:val="000000"/>
        </w:rPr>
        <w:t xml:space="preserve"> </w:t>
      </w:r>
      <w:r w:rsidR="009D790B" w:rsidRPr="00937C4F">
        <w:rPr>
          <w:rFonts w:ascii="Symbol" w:hAnsi="Symbol"/>
          <w:color w:val="000000"/>
        </w:rPr>
        <w:t></w:t>
      </w:r>
      <w:proofErr w:type="spellStart"/>
      <w:r w:rsidR="009D790B" w:rsidRPr="00937C4F">
        <w:rPr>
          <w:color w:val="000000"/>
          <w:vertAlign w:val="subscript"/>
        </w:rPr>
        <w:t>k</w:t>
      </w:r>
      <w:r w:rsidR="009D790B">
        <w:rPr>
          <w:color w:val="000000"/>
        </w:rPr>
        <w:t>Industry</w:t>
      </w:r>
      <w:proofErr w:type="spellEnd"/>
      <w:r w:rsidR="009D790B">
        <w:rPr>
          <w:color w:val="000000"/>
        </w:rPr>
        <w:t xml:space="preserve"> </w:t>
      </w:r>
      <w:r w:rsidR="00E54AB3">
        <w:rPr>
          <w:color w:val="000000"/>
        </w:rPr>
        <w:t xml:space="preserve"> </w:t>
      </w:r>
      <w:r w:rsidR="009D790B">
        <w:rPr>
          <w:color w:val="000000"/>
        </w:rPr>
        <w:t xml:space="preserve">+ </w:t>
      </w:r>
      <w:r w:rsidR="009D790B" w:rsidRPr="00937C4F">
        <w:rPr>
          <w:rFonts w:ascii="Symbol" w:hAnsi="Symbol"/>
          <w:color w:val="000000"/>
        </w:rPr>
        <w:t></w:t>
      </w:r>
      <w:r w:rsidR="009D790B" w:rsidRPr="00937C4F">
        <w:rPr>
          <w:color w:val="000000"/>
          <w:vertAlign w:val="subscript"/>
        </w:rPr>
        <w:t>it</w:t>
      </w:r>
      <w:r w:rsidR="00F31628">
        <w:rPr>
          <w:color w:val="000000"/>
        </w:rPr>
        <w:t xml:space="preserve">  </w:t>
      </w:r>
      <w:r w:rsidR="00BF373E">
        <w:rPr>
          <w:color w:val="000000"/>
        </w:rPr>
        <w:t xml:space="preserve">   </w:t>
      </w:r>
      <w:r w:rsidR="00C9694E">
        <w:rPr>
          <w:color w:val="000000"/>
        </w:rPr>
        <w:t xml:space="preserve">           </w:t>
      </w:r>
      <w:r w:rsidR="00E54AB3">
        <w:rPr>
          <w:color w:val="000000"/>
        </w:rPr>
        <w:t xml:space="preserve">    </w:t>
      </w:r>
      <w:r w:rsidR="00BF373E">
        <w:rPr>
          <w:color w:val="000000"/>
        </w:rPr>
        <w:t>(</w:t>
      </w:r>
      <w:r w:rsidR="009D790B">
        <w:rPr>
          <w:color w:val="000000"/>
        </w:rPr>
        <w:t xml:space="preserve">Eq. </w:t>
      </w:r>
      <w:r w:rsidR="00D12E55">
        <w:rPr>
          <w:color w:val="000000"/>
        </w:rPr>
        <w:t>4</w:t>
      </w:r>
      <w:r w:rsidR="00BF373E">
        <w:rPr>
          <w:color w:val="000000"/>
        </w:rPr>
        <w:t>)</w:t>
      </w:r>
    </w:p>
    <w:p w:rsidR="009D790B" w:rsidRDefault="009D790B" w:rsidP="007E2C06">
      <w:pPr>
        <w:spacing w:line="480" w:lineRule="auto"/>
        <w:jc w:val="both"/>
        <w:rPr>
          <w:color w:val="000000"/>
        </w:rPr>
      </w:pPr>
      <w:proofErr w:type="gramStart"/>
      <w:r>
        <w:rPr>
          <w:color w:val="000000"/>
        </w:rPr>
        <w:t>estimated</w:t>
      </w:r>
      <w:proofErr w:type="gramEnd"/>
      <w:r>
        <w:rPr>
          <w:color w:val="000000"/>
        </w:rPr>
        <w:t xml:space="preserve"> at the firm-year level</w:t>
      </w:r>
      <w:r w:rsidR="008F252B">
        <w:rPr>
          <w:color w:val="000000"/>
        </w:rPr>
        <w:t>, where f</w:t>
      </w:r>
      <w:r>
        <w:rPr>
          <w:color w:val="000000"/>
        </w:rPr>
        <w:t xml:space="preserve">irm </w:t>
      </w:r>
      <w:r w:rsidR="00E963CA">
        <w:rPr>
          <w:color w:val="000000"/>
        </w:rPr>
        <w:t xml:space="preserve">and year </w:t>
      </w:r>
      <w:r>
        <w:rPr>
          <w:color w:val="000000"/>
        </w:rPr>
        <w:t xml:space="preserve">subscripts </w:t>
      </w:r>
      <w:r w:rsidR="00E963CA">
        <w:rPr>
          <w:color w:val="000000"/>
        </w:rPr>
        <w:t xml:space="preserve">are </w:t>
      </w:r>
      <w:r w:rsidR="008F252B">
        <w:rPr>
          <w:color w:val="000000"/>
        </w:rPr>
        <w:t>suppressed</w:t>
      </w:r>
      <w:r w:rsidR="00F31628">
        <w:rPr>
          <w:color w:val="000000"/>
        </w:rPr>
        <w:t xml:space="preserve">. </w:t>
      </w:r>
      <w:r w:rsidR="00DB1AAC">
        <w:rPr>
          <w:color w:val="000000"/>
        </w:rPr>
        <w:t>T</w:t>
      </w:r>
      <w:r>
        <w:rPr>
          <w:color w:val="000000"/>
        </w:rPr>
        <w:t xml:space="preserve">able </w:t>
      </w:r>
      <w:r w:rsidR="00061C5E">
        <w:rPr>
          <w:color w:val="000000"/>
        </w:rPr>
        <w:t>7</w:t>
      </w:r>
      <w:r>
        <w:rPr>
          <w:color w:val="000000"/>
        </w:rPr>
        <w:t xml:space="preserve"> presents in column </w:t>
      </w:r>
      <w:r w:rsidR="00091AEC">
        <w:rPr>
          <w:color w:val="000000"/>
        </w:rPr>
        <w:t>(</w:t>
      </w:r>
      <w:r>
        <w:rPr>
          <w:color w:val="000000"/>
        </w:rPr>
        <w:t>2</w:t>
      </w:r>
      <w:r w:rsidR="00091AEC">
        <w:rPr>
          <w:color w:val="000000"/>
        </w:rPr>
        <w:t>)</w:t>
      </w:r>
      <w:r>
        <w:rPr>
          <w:color w:val="000000"/>
        </w:rPr>
        <w:t xml:space="preserve"> the details of this estimation, and shows that all variables except Auditor </w:t>
      </w:r>
      <w:r w:rsidR="00DB1AAC">
        <w:rPr>
          <w:color w:val="000000"/>
        </w:rPr>
        <w:t xml:space="preserve">and </w:t>
      </w:r>
      <w:r w:rsidR="008F252B">
        <w:rPr>
          <w:color w:val="000000"/>
        </w:rPr>
        <w:t xml:space="preserve">the </w:t>
      </w:r>
      <w:r w:rsidR="00DB1AAC">
        <w:rPr>
          <w:color w:val="000000"/>
        </w:rPr>
        <w:t xml:space="preserve">number of foreign exchange listings </w:t>
      </w:r>
      <w:r>
        <w:rPr>
          <w:color w:val="000000"/>
        </w:rPr>
        <w:t xml:space="preserve">are associated with </w:t>
      </w:r>
      <w:r w:rsidR="0098345A">
        <w:rPr>
          <w:color w:val="000000"/>
        </w:rPr>
        <w:t>OCF</w:t>
      </w:r>
      <w:r>
        <w:rPr>
          <w:color w:val="000000"/>
        </w:rPr>
        <w:t xml:space="preserve"> deflated by total assets, and the </w:t>
      </w:r>
      <w:r w:rsidR="00BD2543">
        <w:rPr>
          <w:color w:val="000000"/>
        </w:rPr>
        <w:t xml:space="preserve">adjusted </w:t>
      </w:r>
      <w:r>
        <w:rPr>
          <w:color w:val="000000"/>
        </w:rPr>
        <w:t>R</w:t>
      </w:r>
      <w:r w:rsidRPr="00E46CC9">
        <w:rPr>
          <w:color w:val="000000"/>
          <w:vertAlign w:val="superscript"/>
        </w:rPr>
        <w:t>2</w:t>
      </w:r>
      <w:r>
        <w:rPr>
          <w:color w:val="000000"/>
        </w:rPr>
        <w:t xml:space="preserve"> is </w:t>
      </w:r>
      <w:r w:rsidR="00DB1AAC">
        <w:rPr>
          <w:color w:val="000000"/>
        </w:rPr>
        <w:t>11</w:t>
      </w:r>
      <w:r>
        <w:rPr>
          <w:color w:val="000000"/>
        </w:rPr>
        <w:t>%</w:t>
      </w:r>
      <w:r w:rsidR="00F31628">
        <w:rPr>
          <w:color w:val="000000"/>
        </w:rPr>
        <w:t xml:space="preserve">. </w:t>
      </w:r>
    </w:p>
    <w:p w:rsidR="0066367B" w:rsidRDefault="0066367B" w:rsidP="0066367B">
      <w:pPr>
        <w:spacing w:line="480" w:lineRule="auto"/>
        <w:jc w:val="center"/>
        <w:rPr>
          <w:color w:val="000000"/>
        </w:rPr>
      </w:pPr>
      <w:r>
        <w:rPr>
          <w:color w:val="000000"/>
        </w:rPr>
        <w:t xml:space="preserve">[Insert Table </w:t>
      </w:r>
      <w:r w:rsidR="00061C5E">
        <w:rPr>
          <w:color w:val="000000"/>
        </w:rPr>
        <w:t>7</w:t>
      </w:r>
      <w:r>
        <w:rPr>
          <w:color w:val="000000"/>
        </w:rPr>
        <w:t xml:space="preserve"> </w:t>
      </w:r>
      <w:proofErr w:type="gramStart"/>
      <w:r>
        <w:rPr>
          <w:color w:val="000000"/>
        </w:rPr>
        <w:t>About</w:t>
      </w:r>
      <w:proofErr w:type="gramEnd"/>
      <w:r>
        <w:rPr>
          <w:color w:val="000000"/>
        </w:rPr>
        <w:t xml:space="preserve"> Here]</w:t>
      </w:r>
    </w:p>
    <w:p w:rsidR="00511400" w:rsidRDefault="008F252B" w:rsidP="00844E32">
      <w:pPr>
        <w:spacing w:line="480" w:lineRule="auto"/>
        <w:ind w:firstLine="720"/>
        <w:jc w:val="both"/>
        <w:rPr>
          <w:color w:val="000000"/>
        </w:rPr>
      </w:pPr>
      <w:r>
        <w:rPr>
          <w:color w:val="000000"/>
        </w:rPr>
        <w:t>W</w:t>
      </w:r>
      <w:r w:rsidR="009D790B">
        <w:rPr>
          <w:color w:val="000000"/>
        </w:rPr>
        <w:t xml:space="preserve">e </w:t>
      </w:r>
      <w:r>
        <w:rPr>
          <w:color w:val="000000"/>
        </w:rPr>
        <w:t xml:space="preserve">also </w:t>
      </w:r>
      <w:r w:rsidR="009D790B">
        <w:rPr>
          <w:color w:val="000000"/>
        </w:rPr>
        <w:t>compare the Spearman correlation between accrua</w:t>
      </w:r>
      <w:r w:rsidR="00922204">
        <w:rPr>
          <w:color w:val="000000"/>
        </w:rPr>
        <w:t xml:space="preserve">ls and </w:t>
      </w:r>
      <w:r w:rsidR="002C50BA">
        <w:rPr>
          <w:color w:val="000000"/>
        </w:rPr>
        <w:t>OCF</w:t>
      </w:r>
      <w:r w:rsidR="00922204">
        <w:rPr>
          <w:color w:val="000000"/>
        </w:rPr>
        <w:t xml:space="preserve"> </w:t>
      </w:r>
      <w:r w:rsidR="009D790B">
        <w:rPr>
          <w:color w:val="000000"/>
        </w:rPr>
        <w:t>pre- and post-merger</w:t>
      </w:r>
      <w:r w:rsidR="00F31628">
        <w:rPr>
          <w:color w:val="000000"/>
        </w:rPr>
        <w:t xml:space="preserve">. </w:t>
      </w:r>
      <w:r w:rsidR="009D790B">
        <w:rPr>
          <w:color w:val="000000"/>
        </w:rPr>
        <w:t>We expect firms with hig</w:t>
      </w:r>
      <w:r w:rsidR="00BC706A">
        <w:rPr>
          <w:color w:val="000000"/>
        </w:rPr>
        <w:t xml:space="preserve">her accounting quality </w:t>
      </w:r>
      <w:r w:rsidR="00963670">
        <w:rPr>
          <w:color w:val="000000"/>
        </w:rPr>
        <w:t xml:space="preserve">to </w:t>
      </w:r>
      <w:r w:rsidR="009D790B">
        <w:rPr>
          <w:color w:val="000000"/>
        </w:rPr>
        <w:t>have less negative correlatio</w:t>
      </w:r>
      <w:r w:rsidR="002C50BA">
        <w:rPr>
          <w:color w:val="000000"/>
        </w:rPr>
        <w:t>n between accruals and OCF</w:t>
      </w:r>
      <w:r w:rsidR="009D790B">
        <w:rPr>
          <w:color w:val="000000"/>
        </w:rPr>
        <w:t>, because less earnings smoothing means that fewer discretionary accruals have to be reversed in the following year</w:t>
      </w:r>
      <w:r w:rsidR="00F31628">
        <w:rPr>
          <w:color w:val="000000"/>
        </w:rPr>
        <w:t xml:space="preserve">. </w:t>
      </w:r>
      <w:r w:rsidR="009D790B">
        <w:rPr>
          <w:color w:val="000000"/>
        </w:rPr>
        <w:t xml:space="preserve">Following Barth et al. (2007), we compute the correlation of accruals and </w:t>
      </w:r>
      <w:r w:rsidR="002C50BA">
        <w:rPr>
          <w:color w:val="000000"/>
        </w:rPr>
        <w:t>OCF</w:t>
      </w:r>
      <w:r w:rsidR="009D790B">
        <w:rPr>
          <w:color w:val="000000"/>
        </w:rPr>
        <w:t xml:space="preserve"> as the correlation of firm-year-specific residuals from Eq. </w:t>
      </w:r>
      <w:r w:rsidR="00091AEC">
        <w:rPr>
          <w:color w:val="000000"/>
        </w:rPr>
        <w:t>(</w:t>
      </w:r>
      <w:r w:rsidR="00D12E55">
        <w:rPr>
          <w:color w:val="000000"/>
        </w:rPr>
        <w:t>4</w:t>
      </w:r>
      <w:r w:rsidR="00091AEC">
        <w:rPr>
          <w:color w:val="000000"/>
        </w:rPr>
        <w:t>)</w:t>
      </w:r>
      <w:r w:rsidR="009D790B">
        <w:rPr>
          <w:color w:val="000000"/>
        </w:rPr>
        <w:t xml:space="preserve"> and </w:t>
      </w:r>
      <w:r w:rsidR="00667812">
        <w:rPr>
          <w:color w:val="000000"/>
        </w:rPr>
        <w:t xml:space="preserve">those </w:t>
      </w:r>
      <w:r w:rsidR="002924DB">
        <w:rPr>
          <w:color w:val="000000"/>
        </w:rPr>
        <w:t xml:space="preserve">from </w:t>
      </w:r>
      <w:r w:rsidR="009D790B">
        <w:rPr>
          <w:color w:val="000000"/>
        </w:rPr>
        <w:t xml:space="preserve">the </w:t>
      </w:r>
      <w:r w:rsidR="00646693">
        <w:rPr>
          <w:color w:val="000000"/>
        </w:rPr>
        <w:t xml:space="preserve">following accruals </w:t>
      </w:r>
      <w:r w:rsidR="009D790B">
        <w:rPr>
          <w:color w:val="000000"/>
        </w:rPr>
        <w:t>regression</w:t>
      </w:r>
      <w:r w:rsidR="00646693">
        <w:rPr>
          <w:color w:val="000000"/>
        </w:rPr>
        <w:t>:</w:t>
      </w:r>
    </w:p>
    <w:p w:rsidR="008E7B1E" w:rsidRDefault="00A86B5E" w:rsidP="00844E32">
      <w:pPr>
        <w:spacing w:line="480" w:lineRule="auto"/>
        <w:rPr>
          <w:color w:val="000000"/>
        </w:rPr>
      </w:pPr>
      <w:proofErr w:type="spellStart"/>
      <w:r>
        <w:rPr>
          <w:color w:val="000000"/>
        </w:rPr>
        <w:t>Accruals</w:t>
      </w:r>
      <w:r w:rsidR="002E347A">
        <w:rPr>
          <w:color w:val="000000"/>
        </w:rPr>
        <w:t>_</w:t>
      </w:r>
      <w:r>
        <w:rPr>
          <w:color w:val="000000"/>
        </w:rPr>
        <w:t>Assets</w:t>
      </w:r>
      <w:proofErr w:type="spellEnd"/>
      <w:r>
        <w:rPr>
          <w:color w:val="000000"/>
        </w:rPr>
        <w:t xml:space="preserve"> </w:t>
      </w:r>
      <w:r w:rsidR="009D790B">
        <w:rPr>
          <w:color w:val="000000"/>
        </w:rPr>
        <w:t xml:space="preserve">= </w:t>
      </w:r>
      <w:r w:rsidR="009D790B" w:rsidRPr="00937C4F">
        <w:rPr>
          <w:rFonts w:ascii="Symbol" w:hAnsi="Symbol"/>
          <w:color w:val="000000"/>
        </w:rPr>
        <w:t></w:t>
      </w:r>
      <w:r w:rsidR="009D790B" w:rsidRPr="00937C4F">
        <w:rPr>
          <w:color w:val="000000"/>
          <w:vertAlign w:val="subscript"/>
        </w:rPr>
        <w:t>0</w:t>
      </w:r>
      <w:r w:rsidR="009D790B">
        <w:rPr>
          <w:color w:val="000000"/>
        </w:rPr>
        <w:t xml:space="preserve"> + </w:t>
      </w:r>
      <w:r w:rsidR="009D790B" w:rsidRPr="00937C4F">
        <w:rPr>
          <w:rFonts w:ascii="Symbol" w:hAnsi="Symbol"/>
          <w:color w:val="000000"/>
        </w:rPr>
        <w:t></w:t>
      </w:r>
      <w:r w:rsidR="009D790B" w:rsidRPr="00937C4F">
        <w:rPr>
          <w:color w:val="000000"/>
          <w:vertAlign w:val="subscript"/>
        </w:rPr>
        <w:t>1</w:t>
      </w:r>
      <w:r>
        <w:rPr>
          <w:color w:val="000000"/>
        </w:rPr>
        <w:t>Size</w:t>
      </w:r>
      <w:r w:rsidR="009D790B">
        <w:rPr>
          <w:color w:val="000000"/>
        </w:rPr>
        <w:t xml:space="preserve"> + </w:t>
      </w:r>
      <w:r w:rsidR="009D790B" w:rsidRPr="00937C4F">
        <w:rPr>
          <w:rFonts w:ascii="Symbol" w:hAnsi="Symbol"/>
          <w:color w:val="000000"/>
        </w:rPr>
        <w:t></w:t>
      </w:r>
      <w:r w:rsidR="009D790B" w:rsidRPr="00937C4F">
        <w:rPr>
          <w:color w:val="000000"/>
          <w:vertAlign w:val="subscript"/>
        </w:rPr>
        <w:t>2</w:t>
      </w:r>
      <w:r w:rsidR="009D790B">
        <w:rPr>
          <w:color w:val="000000"/>
        </w:rPr>
        <w:t xml:space="preserve">Sales Growth + </w:t>
      </w:r>
      <w:r w:rsidR="009D790B" w:rsidRPr="00937C4F">
        <w:rPr>
          <w:rFonts w:ascii="Symbol" w:hAnsi="Symbol"/>
          <w:color w:val="000000"/>
        </w:rPr>
        <w:t></w:t>
      </w:r>
      <w:r w:rsidR="009D790B" w:rsidRPr="00937C4F">
        <w:rPr>
          <w:color w:val="000000"/>
          <w:vertAlign w:val="subscript"/>
        </w:rPr>
        <w:t>3</w:t>
      </w:r>
      <w:r w:rsidR="009D790B">
        <w:rPr>
          <w:color w:val="000000"/>
        </w:rPr>
        <w:t xml:space="preserve">Leverage + </w:t>
      </w:r>
      <w:r w:rsidR="009D790B" w:rsidRPr="00937C4F">
        <w:rPr>
          <w:rFonts w:ascii="Symbol" w:hAnsi="Symbol"/>
          <w:color w:val="000000"/>
        </w:rPr>
        <w:t></w:t>
      </w:r>
      <w:r w:rsidR="009D790B">
        <w:rPr>
          <w:color w:val="000000"/>
          <w:vertAlign w:val="subscript"/>
        </w:rPr>
        <w:t>4</w:t>
      </w:r>
      <w:r w:rsidR="009D790B">
        <w:rPr>
          <w:color w:val="000000"/>
        </w:rPr>
        <w:t xml:space="preserve">Turn + </w:t>
      </w:r>
    </w:p>
    <w:p w:rsidR="00AB2093" w:rsidRDefault="008E7B1E" w:rsidP="00844E32">
      <w:pPr>
        <w:spacing w:line="480" w:lineRule="auto"/>
        <w:rPr>
          <w:color w:val="000000"/>
        </w:rPr>
      </w:pPr>
      <w:r>
        <w:rPr>
          <w:color w:val="000000"/>
        </w:rPr>
        <w:t xml:space="preserve">            </w:t>
      </w:r>
      <w:r w:rsidR="00DB1AAC" w:rsidRPr="00937C4F">
        <w:rPr>
          <w:rFonts w:ascii="Symbol" w:hAnsi="Symbol"/>
          <w:color w:val="000000"/>
        </w:rPr>
        <w:t></w:t>
      </w:r>
      <w:r w:rsidR="00DB1AAC">
        <w:rPr>
          <w:color w:val="000000"/>
          <w:vertAlign w:val="subscript"/>
        </w:rPr>
        <w:t>5</w:t>
      </w:r>
      <w:r w:rsidR="00DB1AAC">
        <w:rPr>
          <w:color w:val="000000"/>
        </w:rPr>
        <w:t xml:space="preserve">Auditor </w:t>
      </w:r>
      <w:r w:rsidR="009D790B">
        <w:rPr>
          <w:color w:val="000000"/>
        </w:rPr>
        <w:t xml:space="preserve">+ </w:t>
      </w:r>
      <w:r w:rsidR="009D790B" w:rsidRPr="00937C4F">
        <w:rPr>
          <w:rFonts w:ascii="Symbol" w:hAnsi="Symbol"/>
          <w:color w:val="000000"/>
        </w:rPr>
        <w:t></w:t>
      </w:r>
      <w:r w:rsidR="009D790B">
        <w:rPr>
          <w:color w:val="000000"/>
          <w:vertAlign w:val="subscript"/>
        </w:rPr>
        <w:t>6</w:t>
      </w:r>
      <w:r w:rsidR="00F31628">
        <w:rPr>
          <w:color w:val="000000"/>
        </w:rPr>
        <w:t>USCROSSLISTED</w:t>
      </w:r>
      <w:r w:rsidR="009D790B">
        <w:rPr>
          <w:color w:val="000000"/>
        </w:rPr>
        <w:t xml:space="preserve"> + </w:t>
      </w:r>
      <w:r w:rsidR="009D790B" w:rsidRPr="00937C4F">
        <w:rPr>
          <w:rFonts w:ascii="Symbol" w:hAnsi="Symbol"/>
          <w:color w:val="000000"/>
        </w:rPr>
        <w:t></w:t>
      </w:r>
      <w:r w:rsidR="009D790B">
        <w:rPr>
          <w:color w:val="000000"/>
          <w:vertAlign w:val="subscript"/>
        </w:rPr>
        <w:t>7</w:t>
      </w:r>
      <w:proofErr w:type="gramStart"/>
      <w:r w:rsidR="00F65FB1">
        <w:rPr>
          <w:color w:val="000000"/>
        </w:rPr>
        <w:t xml:space="preserve"># </w:t>
      </w:r>
      <w:r w:rsidR="009D790B">
        <w:rPr>
          <w:color w:val="000000"/>
        </w:rPr>
        <w:t xml:space="preserve"> </w:t>
      </w:r>
      <w:proofErr w:type="spellStart"/>
      <w:r w:rsidR="009D790B">
        <w:rPr>
          <w:color w:val="000000"/>
        </w:rPr>
        <w:t>FExchanges</w:t>
      </w:r>
      <w:proofErr w:type="spellEnd"/>
      <w:proofErr w:type="gramEnd"/>
      <w:r w:rsidR="009D790B">
        <w:rPr>
          <w:color w:val="000000"/>
        </w:rPr>
        <w:t xml:space="preserve"> + </w:t>
      </w:r>
      <w:r w:rsidR="009D790B" w:rsidRPr="00937C4F">
        <w:rPr>
          <w:rFonts w:ascii="Symbol" w:hAnsi="Symbol"/>
          <w:color w:val="000000"/>
        </w:rPr>
        <w:t></w:t>
      </w:r>
      <w:proofErr w:type="spellStart"/>
      <w:r w:rsidR="009D790B" w:rsidRPr="00937C4F">
        <w:rPr>
          <w:color w:val="000000"/>
          <w:vertAlign w:val="subscript"/>
        </w:rPr>
        <w:t>k</w:t>
      </w:r>
      <w:r w:rsidR="009D790B">
        <w:rPr>
          <w:color w:val="000000"/>
        </w:rPr>
        <w:t>Exchange</w:t>
      </w:r>
      <w:proofErr w:type="spellEnd"/>
      <w:r w:rsidR="00ED391B">
        <w:rPr>
          <w:color w:val="000000"/>
        </w:rPr>
        <w:t xml:space="preserve"> </w:t>
      </w:r>
      <w:r w:rsidR="009D790B">
        <w:rPr>
          <w:color w:val="000000"/>
        </w:rPr>
        <w:t xml:space="preserve"> + </w:t>
      </w:r>
      <w:r w:rsidR="009D790B" w:rsidRPr="00937C4F">
        <w:rPr>
          <w:rFonts w:ascii="Symbol" w:hAnsi="Symbol"/>
          <w:color w:val="000000"/>
        </w:rPr>
        <w:t></w:t>
      </w:r>
      <w:proofErr w:type="spellStart"/>
      <w:r w:rsidR="009D790B" w:rsidRPr="00937C4F">
        <w:rPr>
          <w:color w:val="000000"/>
          <w:vertAlign w:val="subscript"/>
        </w:rPr>
        <w:t>k</w:t>
      </w:r>
      <w:r w:rsidR="009D790B">
        <w:rPr>
          <w:color w:val="000000"/>
        </w:rPr>
        <w:t>Industry</w:t>
      </w:r>
      <w:proofErr w:type="spellEnd"/>
      <w:r w:rsidR="009D790B">
        <w:rPr>
          <w:color w:val="000000"/>
        </w:rPr>
        <w:t xml:space="preserve"> + </w:t>
      </w:r>
      <w:r w:rsidR="009D790B" w:rsidRPr="00937C4F">
        <w:rPr>
          <w:rFonts w:ascii="Symbol" w:hAnsi="Symbol"/>
          <w:color w:val="000000"/>
        </w:rPr>
        <w:t></w:t>
      </w:r>
      <w:r w:rsidR="009D790B" w:rsidRPr="00937C4F">
        <w:rPr>
          <w:color w:val="000000"/>
          <w:vertAlign w:val="subscript"/>
        </w:rPr>
        <w:t>it</w:t>
      </w:r>
      <w:r w:rsidR="00C9694E">
        <w:rPr>
          <w:color w:val="000000"/>
        </w:rPr>
        <w:t xml:space="preserve">     </w:t>
      </w:r>
      <w:r w:rsidR="00BF373E">
        <w:rPr>
          <w:color w:val="000000"/>
        </w:rPr>
        <w:t>(</w:t>
      </w:r>
      <w:r w:rsidR="009D790B">
        <w:rPr>
          <w:color w:val="000000"/>
        </w:rPr>
        <w:t xml:space="preserve">Eq. </w:t>
      </w:r>
      <w:r w:rsidR="00D12E55">
        <w:rPr>
          <w:color w:val="000000"/>
        </w:rPr>
        <w:t>5</w:t>
      </w:r>
      <w:r w:rsidR="00BF373E">
        <w:rPr>
          <w:color w:val="000000"/>
        </w:rPr>
        <w:t>)</w:t>
      </w:r>
    </w:p>
    <w:p w:rsidR="00264BC5" w:rsidRDefault="008F252B" w:rsidP="00844E32">
      <w:pPr>
        <w:spacing w:line="480" w:lineRule="auto"/>
        <w:jc w:val="both"/>
        <w:rPr>
          <w:color w:val="000000"/>
        </w:rPr>
      </w:pPr>
      <w:proofErr w:type="gramStart"/>
      <w:r>
        <w:rPr>
          <w:color w:val="000000"/>
        </w:rPr>
        <w:lastRenderedPageBreak/>
        <w:t>where</w:t>
      </w:r>
      <w:proofErr w:type="gramEnd"/>
      <w:r>
        <w:rPr>
          <w:color w:val="000000"/>
        </w:rPr>
        <w:t xml:space="preserve"> </w:t>
      </w:r>
      <w:r w:rsidR="00DB1AAC">
        <w:rPr>
          <w:color w:val="000000"/>
        </w:rPr>
        <w:t>y</w:t>
      </w:r>
      <w:r w:rsidR="009D790B">
        <w:rPr>
          <w:color w:val="000000"/>
        </w:rPr>
        <w:t xml:space="preserve">ear and firm subscripts </w:t>
      </w:r>
      <w:r w:rsidR="00DB1AAC">
        <w:rPr>
          <w:color w:val="000000"/>
        </w:rPr>
        <w:t>are</w:t>
      </w:r>
      <w:r>
        <w:rPr>
          <w:color w:val="000000"/>
        </w:rPr>
        <w:t xml:space="preserve"> suppressed</w:t>
      </w:r>
      <w:r w:rsidR="00F31628">
        <w:rPr>
          <w:color w:val="000000"/>
        </w:rPr>
        <w:t xml:space="preserve">. </w:t>
      </w:r>
      <w:r w:rsidR="00DB1AAC">
        <w:rPr>
          <w:color w:val="000000"/>
        </w:rPr>
        <w:t>T</w:t>
      </w:r>
      <w:r w:rsidR="009D790B">
        <w:rPr>
          <w:color w:val="000000"/>
        </w:rPr>
        <w:t xml:space="preserve">able </w:t>
      </w:r>
      <w:r w:rsidR="00061C5E">
        <w:rPr>
          <w:color w:val="000000"/>
        </w:rPr>
        <w:t>7</w:t>
      </w:r>
      <w:r w:rsidR="009D790B">
        <w:rPr>
          <w:color w:val="000000"/>
        </w:rPr>
        <w:t xml:space="preserve"> presents in column </w:t>
      </w:r>
      <w:r w:rsidR="00091AEC">
        <w:rPr>
          <w:color w:val="000000"/>
        </w:rPr>
        <w:t>(</w:t>
      </w:r>
      <w:r w:rsidR="009D790B">
        <w:rPr>
          <w:color w:val="000000"/>
        </w:rPr>
        <w:t>3</w:t>
      </w:r>
      <w:r w:rsidR="00091AEC">
        <w:rPr>
          <w:color w:val="000000"/>
        </w:rPr>
        <w:t>)</w:t>
      </w:r>
      <w:r w:rsidR="009D790B">
        <w:rPr>
          <w:color w:val="000000"/>
        </w:rPr>
        <w:t xml:space="preserve"> the details of this estimation, and s</w:t>
      </w:r>
      <w:r w:rsidR="00F31628">
        <w:rPr>
          <w:color w:val="000000"/>
        </w:rPr>
        <w:t>h</w:t>
      </w:r>
      <w:r w:rsidR="004A0B9C">
        <w:rPr>
          <w:color w:val="000000"/>
        </w:rPr>
        <w:t>ows that all variables except Turn</w:t>
      </w:r>
      <w:r w:rsidR="006A1FC0">
        <w:rPr>
          <w:color w:val="000000"/>
        </w:rPr>
        <w:t xml:space="preserve"> </w:t>
      </w:r>
      <w:r w:rsidR="009D790B">
        <w:rPr>
          <w:color w:val="000000"/>
        </w:rPr>
        <w:t xml:space="preserve">and USCROSSLISTED are significantly associated with accruals deflated by total assets, and the </w:t>
      </w:r>
      <w:r w:rsidR="004A0B9C">
        <w:rPr>
          <w:color w:val="000000"/>
        </w:rPr>
        <w:t xml:space="preserve">adjusted </w:t>
      </w:r>
      <w:r w:rsidR="009D790B">
        <w:rPr>
          <w:color w:val="000000"/>
        </w:rPr>
        <w:t>R</w:t>
      </w:r>
      <w:r w:rsidR="009D790B" w:rsidRPr="00E46CC9">
        <w:rPr>
          <w:color w:val="000000"/>
          <w:vertAlign w:val="superscript"/>
        </w:rPr>
        <w:t>2</w:t>
      </w:r>
      <w:r w:rsidR="009D790B">
        <w:rPr>
          <w:color w:val="000000"/>
        </w:rPr>
        <w:t xml:space="preserve"> is 7%</w:t>
      </w:r>
      <w:r w:rsidR="00F31628">
        <w:rPr>
          <w:color w:val="000000"/>
        </w:rPr>
        <w:t xml:space="preserve">. </w:t>
      </w:r>
    </w:p>
    <w:p w:rsidR="00340303" w:rsidRPr="00264BC5" w:rsidRDefault="008F252B" w:rsidP="00D87E31">
      <w:pPr>
        <w:spacing w:line="480" w:lineRule="auto"/>
        <w:jc w:val="both"/>
        <w:outlineLvl w:val="0"/>
        <w:rPr>
          <w:b/>
          <w:smallCaps/>
          <w:color w:val="000000"/>
        </w:rPr>
      </w:pPr>
      <w:r w:rsidRPr="00264BC5">
        <w:rPr>
          <w:b/>
          <w:smallCaps/>
          <w:color w:val="000000"/>
        </w:rPr>
        <w:t>Empirical Results</w:t>
      </w:r>
      <w:r w:rsidR="00264BC5">
        <w:rPr>
          <w:smallCaps/>
          <w:color w:val="000000"/>
        </w:rPr>
        <w:t xml:space="preserve"> </w:t>
      </w:r>
      <w:r w:rsidR="001A58C2">
        <w:rPr>
          <w:color w:val="000000"/>
        </w:rPr>
        <w:t>T</w:t>
      </w:r>
      <w:r w:rsidR="009D790B">
        <w:rPr>
          <w:color w:val="000000"/>
        </w:rPr>
        <w:t xml:space="preserve">able </w:t>
      </w:r>
      <w:r w:rsidR="00061C5E">
        <w:rPr>
          <w:color w:val="000000"/>
        </w:rPr>
        <w:t>8</w:t>
      </w:r>
      <w:r w:rsidR="009D790B">
        <w:rPr>
          <w:color w:val="000000"/>
        </w:rPr>
        <w:t xml:space="preserve"> reports comparisons of the properties of residuals from Eq. </w:t>
      </w:r>
      <w:r w:rsidR="00091AEC">
        <w:rPr>
          <w:color w:val="000000"/>
        </w:rPr>
        <w:t>(</w:t>
      </w:r>
      <w:r w:rsidR="009D786D">
        <w:rPr>
          <w:color w:val="000000"/>
        </w:rPr>
        <w:t>3</w:t>
      </w:r>
      <w:r w:rsidR="00091AEC">
        <w:rPr>
          <w:color w:val="000000"/>
        </w:rPr>
        <w:t>)</w:t>
      </w:r>
      <w:r w:rsidR="009D790B">
        <w:rPr>
          <w:color w:val="000000"/>
        </w:rPr>
        <w:t xml:space="preserve"> through </w:t>
      </w:r>
      <w:r w:rsidR="00091AEC">
        <w:rPr>
          <w:color w:val="000000"/>
        </w:rPr>
        <w:t>(</w:t>
      </w:r>
      <w:r w:rsidR="009D786D">
        <w:rPr>
          <w:color w:val="000000"/>
        </w:rPr>
        <w:t>5</w:t>
      </w:r>
      <w:r w:rsidR="00091AEC">
        <w:rPr>
          <w:color w:val="000000"/>
        </w:rPr>
        <w:t>)</w:t>
      </w:r>
      <w:r w:rsidR="009D790B">
        <w:rPr>
          <w:color w:val="000000"/>
        </w:rPr>
        <w:t xml:space="preserve"> for </w:t>
      </w:r>
      <w:r w:rsidR="009D790B">
        <w:t>the segment and non-segment firms both pre- and post-</w:t>
      </w:r>
      <w:r w:rsidR="0050738D">
        <w:t>merger</w:t>
      </w:r>
      <w:r w:rsidR="00F31628">
        <w:rPr>
          <w:color w:val="000000"/>
        </w:rPr>
        <w:t xml:space="preserve">. </w:t>
      </w:r>
      <w:r w:rsidR="00340303">
        <w:rPr>
          <w:color w:val="000000"/>
        </w:rPr>
        <w:t>To test the statistical significance of the difference in differences, w</w:t>
      </w:r>
      <w:r w:rsidR="00340303" w:rsidRPr="00340303">
        <w:rPr>
          <w:rFonts w:cs="Arial"/>
        </w:rPr>
        <w:t xml:space="preserve">e use a bootstrap procedure (see </w:t>
      </w:r>
      <w:proofErr w:type="spellStart"/>
      <w:r w:rsidR="00340303" w:rsidRPr="00340303">
        <w:rPr>
          <w:rFonts w:cs="Arial"/>
        </w:rPr>
        <w:t>Dichev</w:t>
      </w:r>
      <w:proofErr w:type="spellEnd"/>
      <w:r w:rsidR="00340303" w:rsidRPr="00340303">
        <w:rPr>
          <w:rFonts w:cs="Arial"/>
        </w:rPr>
        <w:t xml:space="preserve"> and Tang 2009 for a similar procedure).  First, we randomly assign firms to non-</w:t>
      </w:r>
      <w:proofErr w:type="gramStart"/>
      <w:r w:rsidR="00340303" w:rsidRPr="00340303">
        <w:rPr>
          <w:rFonts w:cs="Arial"/>
        </w:rPr>
        <w:t>segment,</w:t>
      </w:r>
      <w:proofErr w:type="gramEnd"/>
      <w:r w:rsidR="00340303" w:rsidRPr="00340303">
        <w:rPr>
          <w:rFonts w:cs="Arial"/>
        </w:rPr>
        <w:t xml:space="preserve"> segment, low</w:t>
      </w:r>
      <w:r w:rsidR="00091AEC">
        <w:rPr>
          <w:rFonts w:cs="Arial"/>
        </w:rPr>
        <w:t>-</w:t>
      </w:r>
      <w:r w:rsidR="00340303" w:rsidRPr="00340303">
        <w:rPr>
          <w:rFonts w:cs="Arial"/>
        </w:rPr>
        <w:t xml:space="preserve">compliance segment, and high-compliance segment firm groups and </w:t>
      </w:r>
      <w:proofErr w:type="spellStart"/>
      <w:r w:rsidR="00340303" w:rsidRPr="00340303">
        <w:rPr>
          <w:rFonts w:cs="Arial"/>
        </w:rPr>
        <w:t>recompute</w:t>
      </w:r>
      <w:proofErr w:type="spellEnd"/>
      <w:r w:rsidR="00340303" w:rsidRPr="00340303">
        <w:rPr>
          <w:rFonts w:cs="Arial"/>
        </w:rPr>
        <w:t xml:space="preserve"> the pre-merger and post-merger values of the variables.  We compare the pre- to post-merger differences from the randomly generated sample classifications to the actual difference from pre- to post-merger. We repeat these steps 1,000 times and the resulting p-value is the number of times that the randomly generated difference is higher than the actual difference divided by the number of iterations.  </w:t>
      </w:r>
      <w:r w:rsidR="000834AB">
        <w:rPr>
          <w:color w:val="000000"/>
        </w:rPr>
        <w:t xml:space="preserve"> </w:t>
      </w:r>
    </w:p>
    <w:p w:rsidR="00091AEC" w:rsidRDefault="009D790B" w:rsidP="00175265">
      <w:pPr>
        <w:spacing w:line="480" w:lineRule="auto"/>
        <w:ind w:firstLine="432"/>
        <w:jc w:val="both"/>
        <w:rPr>
          <w:color w:val="000000"/>
        </w:rPr>
      </w:pPr>
      <w:r>
        <w:rPr>
          <w:color w:val="000000"/>
        </w:rPr>
        <w:t xml:space="preserve">The first </w:t>
      </w:r>
      <w:r w:rsidR="00D62EF1">
        <w:rPr>
          <w:color w:val="000000"/>
        </w:rPr>
        <w:t xml:space="preserve">panel </w:t>
      </w:r>
      <w:r>
        <w:rPr>
          <w:color w:val="000000"/>
        </w:rPr>
        <w:t xml:space="preserve">of the table shows that </w:t>
      </w:r>
      <w:r w:rsidR="00234AC3">
        <w:rPr>
          <w:color w:val="000000"/>
        </w:rPr>
        <w:t xml:space="preserve">both before and after </w:t>
      </w:r>
      <w:r>
        <w:rPr>
          <w:color w:val="000000"/>
        </w:rPr>
        <w:t>the merger, the variability of net income was slightly higher for the segment firms than for the non-segment firms</w:t>
      </w:r>
      <w:r w:rsidR="00234AC3">
        <w:rPr>
          <w:color w:val="000000"/>
        </w:rPr>
        <w:t>, but the difference is not significant.</w:t>
      </w:r>
      <w:r w:rsidR="00DC504D">
        <w:rPr>
          <w:color w:val="000000"/>
        </w:rPr>
        <w:t xml:space="preserve"> Variability of earnings for the segment firms increased significantly at the time of the merger. When the segment firms are broken down </w:t>
      </w:r>
      <w:r w:rsidR="00535FFB">
        <w:rPr>
          <w:color w:val="000000"/>
        </w:rPr>
        <w:t>into high- and low-compliance firms</w:t>
      </w:r>
      <w:r w:rsidR="00DC504D">
        <w:rPr>
          <w:color w:val="000000"/>
        </w:rPr>
        <w:t>, the significant increase in variability of net income is co</w:t>
      </w:r>
      <w:r w:rsidR="00535FFB">
        <w:rPr>
          <w:color w:val="000000"/>
        </w:rPr>
        <w:t>n</w:t>
      </w:r>
      <w:r w:rsidR="00DC504D">
        <w:rPr>
          <w:color w:val="000000"/>
        </w:rPr>
        <w:t xml:space="preserve">fined to the </w:t>
      </w:r>
      <w:r w:rsidR="00535FFB">
        <w:rPr>
          <w:color w:val="000000"/>
        </w:rPr>
        <w:t>high-compliance</w:t>
      </w:r>
      <w:r w:rsidR="00DC504D">
        <w:rPr>
          <w:color w:val="000000"/>
        </w:rPr>
        <w:t xml:space="preserve"> segment firms.  </w:t>
      </w:r>
      <w:r w:rsidR="00234AC3">
        <w:rPr>
          <w:color w:val="000000"/>
        </w:rPr>
        <w:t xml:space="preserve"> </w:t>
      </w:r>
    </w:p>
    <w:p w:rsidR="00091AEC" w:rsidRDefault="0050738D" w:rsidP="00175265">
      <w:pPr>
        <w:spacing w:line="480" w:lineRule="auto"/>
        <w:ind w:firstLine="432"/>
        <w:jc w:val="both"/>
        <w:rPr>
          <w:color w:val="000000"/>
        </w:rPr>
      </w:pPr>
      <w:r>
        <w:rPr>
          <w:color w:val="000000"/>
        </w:rPr>
        <w:t>C</w:t>
      </w:r>
      <w:r w:rsidR="00234AC3">
        <w:rPr>
          <w:color w:val="000000"/>
        </w:rPr>
        <w:t xml:space="preserve">ontrolling for the underlying variability in </w:t>
      </w:r>
      <w:r w:rsidR="002C50BA">
        <w:rPr>
          <w:color w:val="000000"/>
        </w:rPr>
        <w:t>OCF</w:t>
      </w:r>
      <w:r w:rsidR="00234AC3">
        <w:rPr>
          <w:color w:val="000000"/>
        </w:rPr>
        <w:t xml:space="preserve">, the </w:t>
      </w:r>
      <w:r w:rsidR="002924DB">
        <w:rPr>
          <w:color w:val="000000"/>
        </w:rPr>
        <w:t xml:space="preserve">second </w:t>
      </w:r>
      <w:r w:rsidR="00D62EF1">
        <w:rPr>
          <w:color w:val="000000"/>
        </w:rPr>
        <w:t xml:space="preserve">panel </w:t>
      </w:r>
      <w:r w:rsidR="00234AC3">
        <w:rPr>
          <w:color w:val="000000"/>
        </w:rPr>
        <w:t>shows that</w:t>
      </w:r>
      <w:r w:rsidR="00667812">
        <w:rPr>
          <w:color w:val="000000"/>
        </w:rPr>
        <w:t xml:space="preserve"> relative to the non-segment firms,</w:t>
      </w:r>
      <w:r w:rsidR="00234AC3">
        <w:rPr>
          <w:color w:val="000000"/>
        </w:rPr>
        <w:t xml:space="preserve"> the </w:t>
      </w:r>
      <w:r w:rsidR="000260FA">
        <w:rPr>
          <w:color w:val="000000"/>
        </w:rPr>
        <w:t xml:space="preserve">ratio of variability of net income to the variability </w:t>
      </w:r>
      <w:r w:rsidR="00234E0E">
        <w:rPr>
          <w:color w:val="000000"/>
        </w:rPr>
        <w:t xml:space="preserve">of </w:t>
      </w:r>
      <w:r w:rsidR="002C50BA">
        <w:rPr>
          <w:color w:val="000000"/>
        </w:rPr>
        <w:t>OCF</w:t>
      </w:r>
      <w:r w:rsidR="00234E0E">
        <w:rPr>
          <w:color w:val="000000"/>
        </w:rPr>
        <w:t xml:space="preserve"> was lower for </w:t>
      </w:r>
      <w:r w:rsidR="000260FA">
        <w:rPr>
          <w:color w:val="000000"/>
        </w:rPr>
        <w:t xml:space="preserve">segment firms before the merger but increased by significantly more after the merger, consistent with an increase in accounting quality for the segment firms but not for the non-segment firms. </w:t>
      </w:r>
      <w:r w:rsidR="00DC504D">
        <w:rPr>
          <w:color w:val="000000"/>
        </w:rPr>
        <w:t xml:space="preserve">Again, when the segment firms are broken down </w:t>
      </w:r>
      <w:r w:rsidR="00535FFB">
        <w:rPr>
          <w:color w:val="000000"/>
        </w:rPr>
        <w:t>into high- and low-compliance firms,</w:t>
      </w:r>
      <w:r w:rsidR="00DC504D">
        <w:rPr>
          <w:color w:val="000000"/>
        </w:rPr>
        <w:t xml:space="preserve"> the significant increase in variability of net </w:t>
      </w:r>
      <w:r w:rsidR="00DC504D">
        <w:rPr>
          <w:color w:val="000000"/>
        </w:rPr>
        <w:lastRenderedPageBreak/>
        <w:t xml:space="preserve">income relative to OCF, as well as the significant difference-in-differences between the non-segment firms and the segment firms, is confined to the </w:t>
      </w:r>
      <w:r w:rsidR="00535FFB">
        <w:rPr>
          <w:color w:val="000000"/>
        </w:rPr>
        <w:t>high-compliance</w:t>
      </w:r>
      <w:r w:rsidR="00DC504D">
        <w:rPr>
          <w:color w:val="000000"/>
        </w:rPr>
        <w:t xml:space="preserve"> segment firms.   </w:t>
      </w:r>
    </w:p>
    <w:p w:rsidR="00DD3FDE" w:rsidRDefault="00103D7A" w:rsidP="00175265">
      <w:pPr>
        <w:spacing w:line="480" w:lineRule="auto"/>
        <w:ind w:firstLine="432"/>
        <w:jc w:val="both"/>
        <w:rPr>
          <w:color w:val="000000"/>
        </w:rPr>
      </w:pPr>
      <w:r>
        <w:rPr>
          <w:color w:val="000000"/>
        </w:rPr>
        <w:t>T</w:t>
      </w:r>
      <w:r w:rsidR="009D790B">
        <w:rPr>
          <w:color w:val="000000"/>
        </w:rPr>
        <w:t xml:space="preserve">he </w:t>
      </w:r>
      <w:r w:rsidR="002924DB">
        <w:rPr>
          <w:color w:val="000000"/>
        </w:rPr>
        <w:t xml:space="preserve">third </w:t>
      </w:r>
      <w:r w:rsidR="008910F2">
        <w:rPr>
          <w:color w:val="000000"/>
        </w:rPr>
        <w:t xml:space="preserve">panel </w:t>
      </w:r>
      <w:r w:rsidR="009D790B">
        <w:rPr>
          <w:color w:val="000000"/>
        </w:rPr>
        <w:t xml:space="preserve">of table </w:t>
      </w:r>
      <w:r w:rsidR="00061C5E">
        <w:rPr>
          <w:color w:val="000000"/>
        </w:rPr>
        <w:t>8</w:t>
      </w:r>
      <w:r w:rsidR="009D790B">
        <w:rPr>
          <w:color w:val="000000"/>
        </w:rPr>
        <w:t xml:space="preserve"> compares the correlation of the proxies for accruals and </w:t>
      </w:r>
      <w:r w:rsidR="002C50BA">
        <w:rPr>
          <w:color w:val="000000"/>
        </w:rPr>
        <w:t>OCF</w:t>
      </w:r>
      <w:r w:rsidR="009D790B">
        <w:rPr>
          <w:color w:val="000000"/>
        </w:rPr>
        <w:t xml:space="preserve"> (residuals from Eq. </w:t>
      </w:r>
      <w:r w:rsidR="00091AEC">
        <w:rPr>
          <w:color w:val="000000"/>
        </w:rPr>
        <w:t>(</w:t>
      </w:r>
      <w:r w:rsidR="00FD2053">
        <w:rPr>
          <w:color w:val="000000"/>
        </w:rPr>
        <w:t>4</w:t>
      </w:r>
      <w:r w:rsidR="00091AEC">
        <w:rPr>
          <w:color w:val="000000"/>
        </w:rPr>
        <w:t>)</w:t>
      </w:r>
      <w:r w:rsidR="009D790B">
        <w:rPr>
          <w:color w:val="000000"/>
        </w:rPr>
        <w:t xml:space="preserve"> and </w:t>
      </w:r>
      <w:r w:rsidR="00091AEC">
        <w:rPr>
          <w:color w:val="000000"/>
        </w:rPr>
        <w:t>(</w:t>
      </w:r>
      <w:r w:rsidR="00FD2053">
        <w:rPr>
          <w:color w:val="000000"/>
        </w:rPr>
        <w:t>5</w:t>
      </w:r>
      <w:r w:rsidR="00091AEC">
        <w:rPr>
          <w:color w:val="000000"/>
        </w:rPr>
        <w:t>)</w:t>
      </w:r>
      <w:r w:rsidR="009D790B">
        <w:rPr>
          <w:color w:val="000000"/>
        </w:rPr>
        <w:t>)</w:t>
      </w:r>
      <w:r w:rsidR="00F31628">
        <w:rPr>
          <w:color w:val="000000"/>
        </w:rPr>
        <w:t xml:space="preserve">. </w:t>
      </w:r>
      <w:r w:rsidR="00352594">
        <w:rPr>
          <w:color w:val="000000"/>
        </w:rPr>
        <w:t>While t</w:t>
      </w:r>
      <w:r w:rsidR="009D790B">
        <w:rPr>
          <w:color w:val="000000"/>
        </w:rPr>
        <w:t xml:space="preserve">he negative correlation between accruals and </w:t>
      </w:r>
      <w:r w:rsidR="002C50BA">
        <w:rPr>
          <w:color w:val="000000"/>
        </w:rPr>
        <w:t>OCF</w:t>
      </w:r>
      <w:r w:rsidR="009D790B">
        <w:rPr>
          <w:color w:val="000000"/>
        </w:rPr>
        <w:t xml:space="preserve"> is similar between the segment and non-segment firms prior to the merger (-0.7</w:t>
      </w:r>
      <w:r w:rsidR="0050738D">
        <w:rPr>
          <w:color w:val="000000"/>
        </w:rPr>
        <w:t>497</w:t>
      </w:r>
      <w:r w:rsidR="009D790B">
        <w:rPr>
          <w:color w:val="000000"/>
        </w:rPr>
        <w:t xml:space="preserve"> and -0.</w:t>
      </w:r>
      <w:r w:rsidR="0050738D">
        <w:rPr>
          <w:color w:val="000000"/>
        </w:rPr>
        <w:t>6646</w:t>
      </w:r>
      <w:r w:rsidR="009D790B">
        <w:rPr>
          <w:color w:val="000000"/>
        </w:rPr>
        <w:t xml:space="preserve">, respectively), subsequent to the merger the negative correlation drops by </w:t>
      </w:r>
      <w:r w:rsidR="0050738D">
        <w:rPr>
          <w:color w:val="000000"/>
        </w:rPr>
        <w:t>27%</w:t>
      </w:r>
      <w:r w:rsidR="009D790B">
        <w:rPr>
          <w:color w:val="000000"/>
        </w:rPr>
        <w:t xml:space="preserve"> for the segment firms but </w:t>
      </w:r>
      <w:r w:rsidR="0050738D">
        <w:rPr>
          <w:color w:val="000000"/>
        </w:rPr>
        <w:t>increases slightly for the non-segment firms</w:t>
      </w:r>
      <w:r w:rsidR="00F31628">
        <w:rPr>
          <w:color w:val="000000"/>
        </w:rPr>
        <w:t xml:space="preserve">. </w:t>
      </w:r>
      <w:r w:rsidR="009D790B">
        <w:rPr>
          <w:color w:val="000000"/>
        </w:rPr>
        <w:t xml:space="preserve">We interpret this dramatic </w:t>
      </w:r>
      <w:r w:rsidR="0050738D">
        <w:rPr>
          <w:color w:val="000000"/>
        </w:rPr>
        <w:t xml:space="preserve">(and significant) </w:t>
      </w:r>
      <w:r w:rsidR="009D790B">
        <w:rPr>
          <w:color w:val="000000"/>
        </w:rPr>
        <w:t xml:space="preserve">attenuation of the negative correlation between accruals and </w:t>
      </w:r>
      <w:r w:rsidR="002C50BA">
        <w:rPr>
          <w:color w:val="000000"/>
        </w:rPr>
        <w:t>OCF</w:t>
      </w:r>
      <w:r w:rsidR="009D790B">
        <w:rPr>
          <w:color w:val="000000"/>
        </w:rPr>
        <w:t xml:space="preserve"> for the segment firms as reflecting a decrease in earnings management for the segment firms subsequent to </w:t>
      </w:r>
      <w:r w:rsidR="002C50BA">
        <w:rPr>
          <w:color w:val="000000"/>
        </w:rPr>
        <w:t xml:space="preserve">joining the segments.  </w:t>
      </w:r>
      <w:r w:rsidR="009D790B">
        <w:rPr>
          <w:color w:val="000000"/>
        </w:rPr>
        <w:t xml:space="preserve"> </w:t>
      </w:r>
      <w:r w:rsidR="0050738D">
        <w:rPr>
          <w:color w:val="000000"/>
        </w:rPr>
        <w:t xml:space="preserve">The difference in differences is significant at </w:t>
      </w:r>
      <w:r w:rsidR="00AD4267">
        <w:rPr>
          <w:color w:val="000000"/>
        </w:rPr>
        <w:t>0</w:t>
      </w:r>
      <w:r w:rsidR="0050738D">
        <w:rPr>
          <w:color w:val="000000"/>
        </w:rPr>
        <w:t>.01.</w:t>
      </w:r>
      <w:r w:rsidR="00DC504D">
        <w:rPr>
          <w:color w:val="000000"/>
        </w:rPr>
        <w:t xml:space="preserve">  Once again, when the segment firms are broken down </w:t>
      </w:r>
      <w:r w:rsidR="00057CB6">
        <w:rPr>
          <w:color w:val="000000"/>
        </w:rPr>
        <w:t xml:space="preserve">into </w:t>
      </w:r>
      <w:r w:rsidR="00535FFB">
        <w:rPr>
          <w:color w:val="000000"/>
        </w:rPr>
        <w:t>high- and low-compliance firms,</w:t>
      </w:r>
      <w:r w:rsidR="00DC504D">
        <w:rPr>
          <w:color w:val="000000"/>
        </w:rPr>
        <w:t xml:space="preserve"> the significant decrease in negative correlation between accruals and OCF, as well as the significant difference-in-differences between the non-segment firms and the segment firms, is confined to the </w:t>
      </w:r>
      <w:r w:rsidR="00535FFB">
        <w:rPr>
          <w:color w:val="000000"/>
        </w:rPr>
        <w:t>high-compliance</w:t>
      </w:r>
      <w:r w:rsidR="00DC504D">
        <w:rPr>
          <w:color w:val="000000"/>
        </w:rPr>
        <w:t xml:space="preserve"> segment firms.   </w:t>
      </w:r>
    </w:p>
    <w:p w:rsidR="0066367B" w:rsidRDefault="0066367B" w:rsidP="0066367B">
      <w:pPr>
        <w:spacing w:line="480" w:lineRule="auto"/>
        <w:ind w:firstLine="432"/>
        <w:jc w:val="center"/>
        <w:rPr>
          <w:color w:val="000000"/>
        </w:rPr>
      </w:pPr>
      <w:r>
        <w:rPr>
          <w:color w:val="000000"/>
        </w:rPr>
        <w:t xml:space="preserve">[Insert Table </w:t>
      </w:r>
      <w:r w:rsidR="00061C5E">
        <w:rPr>
          <w:color w:val="000000"/>
        </w:rPr>
        <w:t>8</w:t>
      </w:r>
      <w:r>
        <w:rPr>
          <w:color w:val="000000"/>
        </w:rPr>
        <w:t xml:space="preserve"> </w:t>
      </w:r>
      <w:proofErr w:type="gramStart"/>
      <w:r>
        <w:rPr>
          <w:color w:val="000000"/>
        </w:rPr>
        <w:t>About</w:t>
      </w:r>
      <w:proofErr w:type="gramEnd"/>
      <w:r>
        <w:rPr>
          <w:color w:val="000000"/>
        </w:rPr>
        <w:t xml:space="preserve"> Here]</w:t>
      </w:r>
    </w:p>
    <w:p w:rsidR="009D790B" w:rsidRDefault="009D790B" w:rsidP="00015230">
      <w:pPr>
        <w:spacing w:line="480" w:lineRule="auto"/>
        <w:ind w:firstLine="432"/>
        <w:jc w:val="both"/>
        <w:rPr>
          <w:color w:val="000000"/>
        </w:rPr>
      </w:pPr>
      <w:r>
        <w:rPr>
          <w:color w:val="000000"/>
        </w:rPr>
        <w:t xml:space="preserve">In summary, </w:t>
      </w:r>
      <w:r w:rsidR="00667812">
        <w:rPr>
          <w:color w:val="000000"/>
        </w:rPr>
        <w:t xml:space="preserve">the </w:t>
      </w:r>
      <w:r>
        <w:rPr>
          <w:color w:val="000000"/>
        </w:rPr>
        <w:t xml:space="preserve">results </w:t>
      </w:r>
      <w:r w:rsidR="00091AEC">
        <w:rPr>
          <w:color w:val="000000"/>
        </w:rPr>
        <w:t>of</w:t>
      </w:r>
      <w:r>
        <w:rPr>
          <w:color w:val="000000"/>
        </w:rPr>
        <w:t xml:space="preserve"> our analyses of the accounting quality </w:t>
      </w:r>
      <w:r w:rsidR="001A58C2">
        <w:rPr>
          <w:color w:val="000000"/>
        </w:rPr>
        <w:t>proxies</w:t>
      </w:r>
      <w:r>
        <w:rPr>
          <w:color w:val="000000"/>
        </w:rPr>
        <w:t xml:space="preserve"> reported in </w:t>
      </w:r>
      <w:r w:rsidR="0006322F">
        <w:rPr>
          <w:color w:val="000000"/>
        </w:rPr>
        <w:t xml:space="preserve">Sections </w:t>
      </w:r>
      <w:r w:rsidR="008910F2">
        <w:rPr>
          <w:color w:val="000000"/>
        </w:rPr>
        <w:t>4</w:t>
      </w:r>
      <w:r w:rsidR="0006322F">
        <w:rPr>
          <w:color w:val="000000"/>
        </w:rPr>
        <w:t>.</w:t>
      </w:r>
      <w:r w:rsidR="001D58A9">
        <w:rPr>
          <w:color w:val="000000"/>
        </w:rPr>
        <w:t>3</w:t>
      </w:r>
      <w:r w:rsidR="00091AEC">
        <w:rPr>
          <w:color w:val="000000"/>
        </w:rPr>
        <w:t>.1</w:t>
      </w:r>
      <w:r w:rsidR="0006322F">
        <w:rPr>
          <w:color w:val="000000"/>
        </w:rPr>
        <w:t xml:space="preserve"> and </w:t>
      </w:r>
      <w:r w:rsidR="008910F2">
        <w:rPr>
          <w:color w:val="000000"/>
        </w:rPr>
        <w:t>4</w:t>
      </w:r>
      <w:r w:rsidR="0006322F">
        <w:rPr>
          <w:color w:val="000000"/>
        </w:rPr>
        <w:t>.</w:t>
      </w:r>
      <w:r w:rsidR="00091AEC">
        <w:rPr>
          <w:color w:val="000000"/>
        </w:rPr>
        <w:t>3.2</w:t>
      </w:r>
      <w:r>
        <w:rPr>
          <w:color w:val="000000"/>
        </w:rPr>
        <w:t xml:space="preserve"> are </w:t>
      </w:r>
      <w:r w:rsidR="00F563EA">
        <w:rPr>
          <w:color w:val="000000"/>
        </w:rPr>
        <w:t xml:space="preserve">largely </w:t>
      </w:r>
      <w:r>
        <w:rPr>
          <w:color w:val="000000"/>
        </w:rPr>
        <w:t xml:space="preserve">consistent with an increase in accounting quality for those firms that chose to become listed on the named segments of Euronext relative to </w:t>
      </w:r>
      <w:r w:rsidR="00622F69">
        <w:rPr>
          <w:color w:val="000000"/>
        </w:rPr>
        <w:t xml:space="preserve">non-segment firms.  </w:t>
      </w:r>
      <w:r w:rsidR="00DC504D">
        <w:rPr>
          <w:color w:val="000000"/>
        </w:rPr>
        <w:t>The results are especially consis</w:t>
      </w:r>
      <w:r w:rsidR="00535FFB">
        <w:rPr>
          <w:color w:val="000000"/>
        </w:rPr>
        <w:t>t</w:t>
      </w:r>
      <w:r w:rsidR="00DC504D">
        <w:rPr>
          <w:color w:val="000000"/>
        </w:rPr>
        <w:t xml:space="preserve">ent when we evaluate only those segment firms that complied more fully with the financial reporting provisions of their Commitment Agreements.  </w:t>
      </w:r>
      <w:r w:rsidR="0006322F">
        <w:rPr>
          <w:color w:val="000000"/>
        </w:rPr>
        <w:t>We interpret</w:t>
      </w:r>
      <w:r>
        <w:rPr>
          <w:color w:val="000000"/>
        </w:rPr>
        <w:t xml:space="preserve"> these results as suggesting that </w:t>
      </w:r>
      <w:r w:rsidR="00926FD0">
        <w:rPr>
          <w:color w:val="000000"/>
        </w:rPr>
        <w:t xml:space="preserve">the integration of trading platforms associated with </w:t>
      </w:r>
      <w:r>
        <w:rPr>
          <w:color w:val="000000"/>
        </w:rPr>
        <w:t>transnational exchange mergers can overcome differential country-specific monitoring and enforcement mechanisms by offering firms mechanisms to make credible voluntary commitments to current and potential investors</w:t>
      </w:r>
      <w:r w:rsidR="004A0D1F">
        <w:rPr>
          <w:color w:val="000000"/>
        </w:rPr>
        <w:t>, such as the named segments offered to Euronext-listed firms</w:t>
      </w:r>
      <w:r w:rsidR="00F31628">
        <w:rPr>
          <w:color w:val="000000"/>
        </w:rPr>
        <w:t>.</w:t>
      </w:r>
      <w:r w:rsidR="004A0D1F">
        <w:rPr>
          <w:color w:val="000000"/>
        </w:rPr>
        <w:t xml:space="preserve">  Our results are also consis</w:t>
      </w:r>
      <w:r w:rsidR="00057CB6">
        <w:rPr>
          <w:color w:val="000000"/>
        </w:rPr>
        <w:t>t</w:t>
      </w:r>
      <w:r w:rsidR="004A0D1F">
        <w:rPr>
          <w:color w:val="000000"/>
        </w:rPr>
        <w:t xml:space="preserve">ent with the literature </w:t>
      </w:r>
      <w:r w:rsidR="004A0D1F">
        <w:rPr>
          <w:color w:val="000000"/>
        </w:rPr>
        <w:lastRenderedPageBreak/>
        <w:t>documenting the importance of firms' reporting incentives in determining the outputs of the financial reporting system.</w:t>
      </w:r>
      <w:r w:rsidR="00F31628">
        <w:rPr>
          <w:color w:val="000000"/>
        </w:rPr>
        <w:t xml:space="preserve"> </w:t>
      </w:r>
    </w:p>
    <w:p w:rsidR="00091AEC" w:rsidRDefault="00091AEC" w:rsidP="00670D05">
      <w:pPr>
        <w:spacing w:line="480" w:lineRule="auto"/>
        <w:rPr>
          <w:b/>
          <w:color w:val="000000"/>
        </w:rPr>
      </w:pPr>
    </w:p>
    <w:p w:rsidR="00375D10" w:rsidRDefault="0043265F" w:rsidP="00670D05">
      <w:pPr>
        <w:spacing w:line="480" w:lineRule="auto"/>
        <w:rPr>
          <w:b/>
          <w:color w:val="000000"/>
        </w:rPr>
      </w:pPr>
      <w:r>
        <w:rPr>
          <w:b/>
          <w:color w:val="000000"/>
        </w:rPr>
        <w:t>5</w:t>
      </w:r>
      <w:r w:rsidR="00375D10">
        <w:rPr>
          <w:b/>
          <w:color w:val="000000"/>
        </w:rPr>
        <w:t>.  Diagnostics and Extensions</w:t>
      </w:r>
    </w:p>
    <w:p w:rsidR="00375D10" w:rsidRDefault="0043265F" w:rsidP="00670D05">
      <w:pPr>
        <w:spacing w:line="480" w:lineRule="auto"/>
        <w:rPr>
          <w:b/>
          <w:color w:val="000000"/>
        </w:rPr>
      </w:pPr>
      <w:r>
        <w:rPr>
          <w:b/>
          <w:color w:val="000000"/>
        </w:rPr>
        <w:t>5</w:t>
      </w:r>
      <w:r w:rsidR="00375D10">
        <w:rPr>
          <w:b/>
          <w:color w:val="000000"/>
        </w:rPr>
        <w:t>.1 Propensity Score Matching</w:t>
      </w:r>
    </w:p>
    <w:p w:rsidR="001C740A" w:rsidRDefault="00670D05" w:rsidP="007E2C06">
      <w:pPr>
        <w:spacing w:line="480" w:lineRule="auto"/>
        <w:ind w:firstLine="432"/>
        <w:jc w:val="both"/>
      </w:pPr>
      <w:r w:rsidRPr="007A714A">
        <w:t xml:space="preserve">As </w:t>
      </w:r>
      <w:r>
        <w:t xml:space="preserve">discussed earlier, </w:t>
      </w:r>
      <w:r w:rsidRPr="007A714A">
        <w:t xml:space="preserve">panel C of table 2 </w:t>
      </w:r>
      <w:r>
        <w:t xml:space="preserve">shows that our segment and non-segment firms differ significantly on a number of firm characteristics both before and after the </w:t>
      </w:r>
      <w:r w:rsidR="00926FD0">
        <w:t xml:space="preserve">formation of </w:t>
      </w:r>
      <w:r>
        <w:t xml:space="preserve">Euronext. Among these characteristics </w:t>
      </w:r>
      <w:proofErr w:type="gramStart"/>
      <w:r>
        <w:t>are</w:t>
      </w:r>
      <w:proofErr w:type="gramEnd"/>
      <w:r w:rsidRPr="007A714A">
        <w:t xml:space="preserve"> leverage, profitability, number of foreign exchange</w:t>
      </w:r>
      <w:r w:rsidR="00D2556A">
        <w:t xml:space="preserve"> listings, </w:t>
      </w:r>
      <w:r w:rsidRPr="007A714A">
        <w:t xml:space="preserve">sales growth, size, asset turnover, </w:t>
      </w:r>
      <w:r>
        <w:t>B</w:t>
      </w:r>
      <w:r w:rsidRPr="007A714A">
        <w:t xml:space="preserve">ig-5 auditor, </w:t>
      </w:r>
      <w:r w:rsidR="00D2556A">
        <w:t>IFRS or US GAAP</w:t>
      </w:r>
      <w:r w:rsidRPr="007A714A">
        <w:t xml:space="preserve">, and </w:t>
      </w:r>
      <w:r>
        <w:t xml:space="preserve">return </w:t>
      </w:r>
      <w:r w:rsidRPr="007A714A">
        <w:t xml:space="preserve">volatility. </w:t>
      </w:r>
      <w:r>
        <w:t>The accounting literature has demonstrated that these characteristics affect not only the reporting decision</w:t>
      </w:r>
      <w:r w:rsidR="004A0D1F">
        <w:t>s</w:t>
      </w:r>
      <w:r>
        <w:t xml:space="preserve"> of firms but also their decision whether to list or cross-list on a highly-regulated exchange</w:t>
      </w:r>
      <w:r w:rsidR="00B27D0E">
        <w:t xml:space="preserve"> (see Lang et al. 2003 for an example)</w:t>
      </w:r>
      <w:r>
        <w:t xml:space="preserve">. Thus, the </w:t>
      </w:r>
      <w:r w:rsidR="009535FB">
        <w:t xml:space="preserve">liquidity with which </w:t>
      </w:r>
      <w:r>
        <w:t xml:space="preserve">sample firms </w:t>
      </w:r>
      <w:r w:rsidR="009535FB">
        <w:t xml:space="preserve">trade, and their choices </w:t>
      </w:r>
      <w:r>
        <w:t>to provide a certain level of reporting quality</w:t>
      </w:r>
      <w:r w:rsidR="009535FB">
        <w:t>,</w:t>
      </w:r>
      <w:r>
        <w:t xml:space="preserve"> might not be indep</w:t>
      </w:r>
      <w:r w:rsidR="001C740A">
        <w:t>endent of their decision</w:t>
      </w:r>
      <w:r w:rsidR="009535FB">
        <w:t>s</w:t>
      </w:r>
      <w:r w:rsidR="001C740A">
        <w:t xml:space="preserve"> </w:t>
      </w:r>
      <w:r>
        <w:t xml:space="preserve">to list on a named segment and our results </w:t>
      </w:r>
      <w:r w:rsidRPr="007A714A">
        <w:t xml:space="preserve">might be </w:t>
      </w:r>
      <w:r>
        <w:t>influenced by</w:t>
      </w:r>
      <w:r w:rsidRPr="007A714A">
        <w:t xml:space="preserve"> selection bias. T</w:t>
      </w:r>
      <w:r>
        <w:t>o control for such bias,</w:t>
      </w:r>
      <w:r w:rsidRPr="007A714A">
        <w:t xml:space="preserve"> we match </w:t>
      </w:r>
      <w:r>
        <w:t>the</w:t>
      </w:r>
      <w:r w:rsidRPr="007A714A">
        <w:t xml:space="preserve"> segment and non-segment </w:t>
      </w:r>
      <w:r>
        <w:t xml:space="preserve">firms on these firm characteristics to obtain a sample </w:t>
      </w:r>
      <w:r w:rsidRPr="007A714A">
        <w:t xml:space="preserve">of </w:t>
      </w:r>
      <w:r w:rsidR="001C740A">
        <w:t xml:space="preserve">non-segment </w:t>
      </w:r>
      <w:r w:rsidRPr="007A714A">
        <w:t xml:space="preserve">firms with similar likelihood of listing on </w:t>
      </w:r>
      <w:r>
        <w:t>a</w:t>
      </w:r>
      <w:r w:rsidRPr="007A714A">
        <w:t xml:space="preserve"> </w:t>
      </w:r>
      <w:r>
        <w:t xml:space="preserve">named </w:t>
      </w:r>
      <w:r w:rsidRPr="007A714A">
        <w:t xml:space="preserve">segment. Given the large number of independent variables which </w:t>
      </w:r>
      <w:r>
        <w:t>need to be matched</w:t>
      </w:r>
      <w:r w:rsidRPr="007A714A">
        <w:t xml:space="preserve">, we expect that a simple matching procedure will </w:t>
      </w:r>
      <w:r>
        <w:t>result in a large</w:t>
      </w:r>
      <w:r w:rsidRPr="007A714A">
        <w:t xml:space="preserve"> loss of observations. Instead, </w:t>
      </w:r>
      <w:r>
        <w:t xml:space="preserve">to minimize this loss, </w:t>
      </w:r>
      <w:r w:rsidRPr="007A714A">
        <w:t>we conduct</w:t>
      </w:r>
      <w:r w:rsidR="004A0D1F">
        <w:t xml:space="preserve"> </w:t>
      </w:r>
      <w:r>
        <w:t xml:space="preserve">a </w:t>
      </w:r>
      <w:r w:rsidRPr="007A714A">
        <w:t>pro</w:t>
      </w:r>
      <w:r>
        <w:t>pensity score matching (PSM) analysis</w:t>
      </w:r>
      <w:r w:rsidRPr="007A714A">
        <w:t>. Th</w:t>
      </w:r>
      <w:r>
        <w:t>e PSM</w:t>
      </w:r>
      <w:r w:rsidRPr="007A714A">
        <w:t xml:space="preserve"> analysis allows us to calculate a propensity score for each firm</w:t>
      </w:r>
      <w:r w:rsidR="00FF3D7F">
        <w:t>-year</w:t>
      </w:r>
      <w:r w:rsidRPr="007A714A">
        <w:t xml:space="preserve"> in our sample, </w:t>
      </w:r>
      <w:r>
        <w:t>as a single</w:t>
      </w:r>
      <w:r w:rsidRPr="007A714A">
        <w:t xml:space="preserve"> ba</w:t>
      </w:r>
      <w:r>
        <w:t>lanced representation of all firm characteristics of interest</w:t>
      </w:r>
      <w:r w:rsidRPr="007A714A">
        <w:t xml:space="preserve"> (</w:t>
      </w:r>
      <w:proofErr w:type="spellStart"/>
      <w:r w:rsidRPr="007A714A">
        <w:t>Guo</w:t>
      </w:r>
      <w:proofErr w:type="spellEnd"/>
      <w:r w:rsidRPr="007A714A">
        <w:t xml:space="preserve"> </w:t>
      </w:r>
      <w:r w:rsidR="004A0D1F">
        <w:t>and</w:t>
      </w:r>
      <w:r w:rsidRPr="007A714A">
        <w:t xml:space="preserve"> Fraser 2010</w:t>
      </w:r>
      <w:r>
        <w:t>). This in turn guarantees that propensity score</w:t>
      </w:r>
      <w:r w:rsidR="00D2556A">
        <w:t xml:space="preserve"> matched</w:t>
      </w:r>
      <w:r>
        <w:t xml:space="preserve"> </w:t>
      </w:r>
      <w:r w:rsidR="001E5FC2">
        <w:t xml:space="preserve">observations </w:t>
      </w:r>
      <w:r>
        <w:t xml:space="preserve">are similar on average </w:t>
      </w:r>
      <w:r w:rsidRPr="007A714A">
        <w:t xml:space="preserve">even if they </w:t>
      </w:r>
      <w:r>
        <w:t xml:space="preserve">continue to </w:t>
      </w:r>
      <w:r w:rsidRPr="007A714A">
        <w:t xml:space="preserve">differ on some </w:t>
      </w:r>
      <w:r>
        <w:t>firm characteristics included in the propensity score</w:t>
      </w:r>
      <w:r w:rsidRPr="007A714A">
        <w:t xml:space="preserve"> calculation.</w:t>
      </w:r>
      <w:r>
        <w:t xml:space="preserve"> </w:t>
      </w:r>
    </w:p>
    <w:p w:rsidR="00670D05" w:rsidRDefault="001C740A" w:rsidP="007E2C06">
      <w:pPr>
        <w:spacing w:line="480" w:lineRule="auto"/>
        <w:ind w:firstLine="432"/>
        <w:jc w:val="both"/>
      </w:pPr>
      <w:r>
        <w:lastRenderedPageBreak/>
        <w:t xml:space="preserve">We conduct the PSM analysis separately pre- and post-merger. </w:t>
      </w:r>
      <w:r w:rsidR="00670D05" w:rsidRPr="007A714A">
        <w:t xml:space="preserve">Table </w:t>
      </w:r>
      <w:r w:rsidR="001D58A9">
        <w:t>9</w:t>
      </w:r>
      <w:r w:rsidR="008910F2">
        <w:t xml:space="preserve"> panel </w:t>
      </w:r>
      <w:proofErr w:type="gramStart"/>
      <w:r w:rsidR="008910F2">
        <w:t>A</w:t>
      </w:r>
      <w:proofErr w:type="gramEnd"/>
      <w:r w:rsidR="00670D05" w:rsidRPr="007A714A">
        <w:t xml:space="preserve"> </w:t>
      </w:r>
      <w:r w:rsidR="00844E32">
        <w:t>shows</w:t>
      </w:r>
      <w:r w:rsidR="00670D05">
        <w:t xml:space="preserve"> results from the two logistic regressions</w:t>
      </w:r>
      <w:r w:rsidR="00670D05" w:rsidRPr="007A714A">
        <w:t xml:space="preserve"> used to calculate the propensity scores for our sample</w:t>
      </w:r>
      <w:r w:rsidR="00670D05">
        <w:t xml:space="preserve"> firms</w:t>
      </w:r>
      <w:r w:rsidR="00670D05" w:rsidRPr="007A714A">
        <w:t>. The results of th</w:t>
      </w:r>
      <w:r w:rsidR="00670D05">
        <w:t>e</w:t>
      </w:r>
      <w:r w:rsidR="00670D05" w:rsidRPr="007A714A">
        <w:t>s</w:t>
      </w:r>
      <w:r w:rsidR="00670D05">
        <w:t>e</w:t>
      </w:r>
      <w:r w:rsidR="00670D05" w:rsidRPr="007A714A">
        <w:t xml:space="preserve"> </w:t>
      </w:r>
      <w:r w:rsidR="00670D05">
        <w:t>regressions</w:t>
      </w:r>
      <w:r w:rsidR="00670D05" w:rsidRPr="007A714A">
        <w:t xml:space="preserve"> indicate that </w:t>
      </w:r>
      <w:r w:rsidR="00670D05">
        <w:t xml:space="preserve">both before and after the </w:t>
      </w:r>
      <w:r w:rsidR="00926FD0">
        <w:t xml:space="preserve">formation of </w:t>
      </w:r>
      <w:r w:rsidR="00670D05">
        <w:t xml:space="preserve">Euronext, </w:t>
      </w:r>
      <w:r w:rsidR="00670D05" w:rsidRPr="007A714A">
        <w:t xml:space="preserve">the probability </w:t>
      </w:r>
      <w:r w:rsidR="00655703">
        <w:t>of joining</w:t>
      </w:r>
      <w:r w:rsidR="00670D05" w:rsidRPr="007A714A">
        <w:t xml:space="preserve"> a named segment is positively and significantly </w:t>
      </w:r>
      <w:r w:rsidR="00670D05">
        <w:t>related</w:t>
      </w:r>
      <w:r w:rsidR="00670D05" w:rsidRPr="007A714A">
        <w:t xml:space="preserve"> </w:t>
      </w:r>
      <w:r w:rsidR="00670D05">
        <w:t>to</w:t>
      </w:r>
      <w:r w:rsidR="00670D05" w:rsidRPr="007A714A">
        <w:t xml:space="preserve"> sales growth, </w:t>
      </w:r>
      <w:r w:rsidR="00670D05">
        <w:t>asset turnover, being audited by a B</w:t>
      </w:r>
      <w:r w:rsidR="00670D05" w:rsidRPr="007A714A">
        <w:t xml:space="preserve">ig-5 auditor, </w:t>
      </w:r>
      <w:r w:rsidR="00670D05">
        <w:t>and</w:t>
      </w:r>
      <w:r w:rsidR="00670D05" w:rsidRPr="007A714A">
        <w:t xml:space="preserve"> </w:t>
      </w:r>
      <w:r w:rsidR="00670D05">
        <w:t xml:space="preserve">return </w:t>
      </w:r>
      <w:r w:rsidR="00670D05" w:rsidRPr="007A714A">
        <w:t xml:space="preserve">variability. </w:t>
      </w:r>
      <w:r w:rsidR="00655703">
        <w:t>T</w:t>
      </w:r>
      <w:r w:rsidR="00670D05" w:rsidRPr="007A714A">
        <w:t>h</w:t>
      </w:r>
      <w:r w:rsidR="00670D05">
        <w:t>e</w:t>
      </w:r>
      <w:r w:rsidR="00670D05" w:rsidRPr="007A714A">
        <w:t xml:space="preserve"> probability </w:t>
      </w:r>
      <w:r w:rsidR="00655703">
        <w:t xml:space="preserve">of joining </w:t>
      </w:r>
      <w:r w:rsidR="00670D05">
        <w:t xml:space="preserve">a named segment </w:t>
      </w:r>
      <w:r w:rsidR="00670D05" w:rsidRPr="007A714A">
        <w:t xml:space="preserve">is </w:t>
      </w:r>
      <w:r w:rsidR="00655703">
        <w:t xml:space="preserve">also </w:t>
      </w:r>
      <w:r w:rsidR="00670D05" w:rsidRPr="007A714A">
        <w:t xml:space="preserve">negatively and significantly related to </w:t>
      </w:r>
      <w:r w:rsidR="00670D05">
        <w:t>leverage</w:t>
      </w:r>
      <w:r w:rsidR="00670D05" w:rsidRPr="007A714A">
        <w:t xml:space="preserve"> and being cross-listed on a U</w:t>
      </w:r>
      <w:r w:rsidR="00E5039B">
        <w:t>.</w:t>
      </w:r>
      <w:r w:rsidR="00670D05" w:rsidRPr="007A714A">
        <w:t>S</w:t>
      </w:r>
      <w:r w:rsidR="00E5039B">
        <w:t>.</w:t>
      </w:r>
      <w:r w:rsidR="00670D05" w:rsidRPr="007A714A">
        <w:t xml:space="preserve"> exchange. </w:t>
      </w:r>
      <w:r>
        <w:t xml:space="preserve">We also </w:t>
      </w:r>
      <w:r w:rsidR="00655703">
        <w:t>find</w:t>
      </w:r>
      <w:r>
        <w:t xml:space="preserve"> that o</w:t>
      </w:r>
      <w:r w:rsidR="00670D05">
        <w:t xml:space="preserve">nly for the </w:t>
      </w:r>
      <w:r w:rsidR="00655703">
        <w:t xml:space="preserve">post-merger </w:t>
      </w:r>
      <w:r w:rsidR="00670D05">
        <w:t xml:space="preserve">period, </w:t>
      </w:r>
      <w:r w:rsidR="00670D05" w:rsidRPr="007A714A">
        <w:t xml:space="preserve">the probability of </w:t>
      </w:r>
      <w:r w:rsidR="00655703">
        <w:t>joining</w:t>
      </w:r>
      <w:r w:rsidR="00670D05" w:rsidRPr="007A714A">
        <w:t xml:space="preserve"> a named segment i</w:t>
      </w:r>
      <w:r>
        <w:t xml:space="preserve">s </w:t>
      </w:r>
      <w:r w:rsidR="00670D05" w:rsidRPr="007A714A">
        <w:t xml:space="preserve">positively and significantly </w:t>
      </w:r>
      <w:r w:rsidR="00670D05">
        <w:t>relat</w:t>
      </w:r>
      <w:r w:rsidR="00670D05" w:rsidRPr="007A714A">
        <w:t xml:space="preserve">ed to reporting </w:t>
      </w:r>
      <w:r w:rsidR="00670D05">
        <w:t>under</w:t>
      </w:r>
      <w:r w:rsidR="00670D05" w:rsidRPr="007A714A">
        <w:t xml:space="preserve"> US GAAP or IFRS. </w:t>
      </w:r>
      <w:r w:rsidR="00670D05">
        <w:t>Using the calculated propensity scores from these logistic regressions</w:t>
      </w:r>
      <w:r w:rsidR="00670D05" w:rsidRPr="007A714A">
        <w:t>, we perform a nearest neighbor within caliper matching</w:t>
      </w:r>
      <w:r w:rsidR="00670D05">
        <w:t xml:space="preserve"> of segment and non-segment firms. We keep in our PSM sample only </w:t>
      </w:r>
      <w:r w:rsidR="00670D05" w:rsidRPr="007A714A">
        <w:t>pair</w:t>
      </w:r>
      <w:r w:rsidR="00670D05">
        <w:t>s of</w:t>
      </w:r>
      <w:r w:rsidR="00670D05" w:rsidRPr="007A714A">
        <w:t xml:space="preserve"> </w:t>
      </w:r>
      <w:r w:rsidR="00670D05">
        <w:t xml:space="preserve">segment and </w:t>
      </w:r>
      <w:r w:rsidR="00670D05" w:rsidRPr="007A714A">
        <w:t>non-segment firm</w:t>
      </w:r>
      <w:r w:rsidR="00881AEE">
        <w:t>-years</w:t>
      </w:r>
      <w:r w:rsidR="00670D05" w:rsidRPr="007A714A">
        <w:t xml:space="preserve"> </w:t>
      </w:r>
      <w:r w:rsidR="00670D05">
        <w:t>for which the absolute value</w:t>
      </w:r>
      <w:r w:rsidR="00670D05" w:rsidRPr="007A714A">
        <w:t xml:space="preserve"> of </w:t>
      </w:r>
      <w:r w:rsidR="00670D05">
        <w:t xml:space="preserve">the difference </w:t>
      </w:r>
      <w:r w:rsidR="00655703">
        <w:t>in</w:t>
      </w:r>
      <w:r w:rsidR="00670D05">
        <w:t xml:space="preserve"> their</w:t>
      </w:r>
      <w:r w:rsidR="00670D05" w:rsidRPr="007A714A">
        <w:t xml:space="preserve"> propensity scores is </w:t>
      </w:r>
      <w:r w:rsidR="00670D05">
        <w:t>no larger</w:t>
      </w:r>
      <w:r w:rsidR="00670D05" w:rsidRPr="007A714A">
        <w:t xml:space="preserve"> than</w:t>
      </w:r>
      <w:r w:rsidR="00670D05">
        <w:t xml:space="preserve"> 0.01.</w:t>
      </w:r>
      <w:r w:rsidR="00670D05" w:rsidRPr="007A714A">
        <w:t xml:space="preserve"> In the process of matching </w:t>
      </w:r>
      <w:r w:rsidR="00670D05">
        <w:t xml:space="preserve">we lose </w:t>
      </w:r>
      <w:r w:rsidR="00670D05" w:rsidRPr="007A714A">
        <w:t xml:space="preserve">segment and non-segment observations that fall out of the common </w:t>
      </w:r>
      <w:r w:rsidR="00670D05">
        <w:t xml:space="preserve">support </w:t>
      </w:r>
      <w:r w:rsidR="00670D05" w:rsidRPr="007A714A">
        <w:t xml:space="preserve">region </w:t>
      </w:r>
      <w:r w:rsidR="00670D05">
        <w:t>of the</w:t>
      </w:r>
      <w:r w:rsidR="00670D05" w:rsidRPr="007A714A">
        <w:t xml:space="preserve"> calculated propensity scores</w:t>
      </w:r>
      <w:r w:rsidR="00670D05">
        <w:t>, and are left with</w:t>
      </w:r>
      <w:r w:rsidR="00670D05" w:rsidRPr="007A714A">
        <w:t xml:space="preserve"> </w:t>
      </w:r>
      <w:r w:rsidR="00670D05">
        <w:t>474 firms and 2,44</w:t>
      </w:r>
      <w:r>
        <w:t>6 firm-years (see panel A of t</w:t>
      </w:r>
      <w:r w:rsidR="00670D05" w:rsidRPr="007A714A">
        <w:t xml:space="preserve">able </w:t>
      </w:r>
      <w:r w:rsidR="00D2556A">
        <w:t>3</w:t>
      </w:r>
      <w:r w:rsidR="00670D05" w:rsidRPr="007A714A">
        <w:t xml:space="preserve">). </w:t>
      </w:r>
    </w:p>
    <w:p w:rsidR="00D2556A" w:rsidRDefault="00D2556A" w:rsidP="00D2556A">
      <w:pPr>
        <w:spacing w:line="480" w:lineRule="auto"/>
        <w:ind w:firstLine="432"/>
        <w:jc w:val="center"/>
      </w:pPr>
      <w:r>
        <w:t xml:space="preserve">[Insert Table </w:t>
      </w:r>
      <w:r w:rsidR="001D58A9">
        <w:t>9</w:t>
      </w:r>
      <w:r>
        <w:t xml:space="preserve"> </w:t>
      </w:r>
      <w:proofErr w:type="gramStart"/>
      <w:r>
        <w:t>About</w:t>
      </w:r>
      <w:proofErr w:type="gramEnd"/>
      <w:r>
        <w:t xml:space="preserve"> Here]</w:t>
      </w:r>
    </w:p>
    <w:p w:rsidR="00670D05" w:rsidRDefault="00670D05" w:rsidP="007E2C06">
      <w:pPr>
        <w:spacing w:line="480" w:lineRule="auto"/>
        <w:ind w:firstLine="432"/>
        <w:jc w:val="both"/>
      </w:pPr>
      <w:r w:rsidRPr="007A714A">
        <w:t xml:space="preserve">To </w:t>
      </w:r>
      <w:r w:rsidR="00655703">
        <w:t>evaluate</w:t>
      </w:r>
      <w:r w:rsidRPr="007A714A">
        <w:t xml:space="preserve"> </w:t>
      </w:r>
      <w:r>
        <w:t xml:space="preserve">whether our PSM </w:t>
      </w:r>
      <w:r w:rsidRPr="007A714A">
        <w:t>procedure</w:t>
      </w:r>
      <w:r>
        <w:t xml:space="preserve"> was successful in eliminating the difference</w:t>
      </w:r>
      <w:r w:rsidR="001C740A">
        <w:t>s</w:t>
      </w:r>
      <w:r>
        <w:t xml:space="preserve"> in firm characteristics between the segment and non-segment samples</w:t>
      </w:r>
      <w:r w:rsidRPr="007A714A">
        <w:t xml:space="preserve">, we recalculate the descriptive statistics by period and segment, </w:t>
      </w:r>
      <w:r>
        <w:t xml:space="preserve">the difference between </w:t>
      </w:r>
      <w:r w:rsidRPr="007A714A">
        <w:t>medians and means</w:t>
      </w:r>
      <w:r>
        <w:t>, and the statistical significance of these differences</w:t>
      </w:r>
      <w:r w:rsidRPr="007A714A">
        <w:t xml:space="preserve">. The comparison </w:t>
      </w:r>
      <w:r w:rsidR="001C740A">
        <w:t xml:space="preserve">in </w:t>
      </w:r>
      <w:r w:rsidR="00655703">
        <w:t>t</w:t>
      </w:r>
      <w:r w:rsidR="001C740A">
        <w:t xml:space="preserve">able </w:t>
      </w:r>
      <w:r w:rsidR="008910F2">
        <w:t>9 panel B</w:t>
      </w:r>
      <w:r w:rsidR="001C740A">
        <w:t xml:space="preserve"> </w:t>
      </w:r>
      <w:r w:rsidRPr="007A714A">
        <w:t xml:space="preserve">indicates that the </w:t>
      </w:r>
      <w:r>
        <w:t>PSM</w:t>
      </w:r>
      <w:r w:rsidRPr="007A714A">
        <w:t xml:space="preserve"> </w:t>
      </w:r>
      <w:r w:rsidR="00655703">
        <w:t>procedure</w:t>
      </w:r>
      <w:r w:rsidRPr="007A714A">
        <w:t xml:space="preserve"> </w:t>
      </w:r>
      <w:r>
        <w:t xml:space="preserve">successfully </w:t>
      </w:r>
      <w:r w:rsidRPr="007A714A">
        <w:t xml:space="preserve">eliminated the difference in </w:t>
      </w:r>
      <w:r w:rsidR="001C740A">
        <w:t xml:space="preserve">means and </w:t>
      </w:r>
      <w:r w:rsidRPr="007A714A">
        <w:t>median</w:t>
      </w:r>
      <w:r>
        <w:t>s</w:t>
      </w:r>
      <w:r w:rsidR="0085522E">
        <w:t xml:space="preserve"> </w:t>
      </w:r>
      <w:r w:rsidRPr="007A714A">
        <w:t>between the segment and non</w:t>
      </w:r>
      <w:r>
        <w:t>-</w:t>
      </w:r>
      <w:r w:rsidRPr="007A714A">
        <w:t xml:space="preserve">segment </w:t>
      </w:r>
      <w:r>
        <w:t>firms for most firm characteristics</w:t>
      </w:r>
      <w:r w:rsidRPr="007A714A">
        <w:t xml:space="preserve">. </w:t>
      </w:r>
      <w:r>
        <w:t>The firms in ou</w:t>
      </w:r>
      <w:r w:rsidR="0085522E">
        <w:t>r PSM sample pre-merger</w:t>
      </w:r>
      <w:r>
        <w:t xml:space="preserve"> </w:t>
      </w:r>
      <w:proofErr w:type="gramStart"/>
      <w:r>
        <w:t>differ</w:t>
      </w:r>
      <w:proofErr w:type="gramEnd"/>
      <w:r>
        <w:t xml:space="preserve"> significantly only on mean and median retu</w:t>
      </w:r>
      <w:r w:rsidR="0085522E">
        <w:t>rn variability and post-merger</w:t>
      </w:r>
      <w:r>
        <w:t xml:space="preserve"> on median size and return variability.</w:t>
      </w:r>
    </w:p>
    <w:p w:rsidR="00D0345A" w:rsidRDefault="00D2556A" w:rsidP="001D58A9">
      <w:pPr>
        <w:spacing w:line="480" w:lineRule="auto"/>
        <w:ind w:firstLine="432"/>
        <w:jc w:val="both"/>
      </w:pPr>
      <w:r>
        <w:t xml:space="preserve">Table </w:t>
      </w:r>
      <w:r w:rsidR="008910F2">
        <w:t>9 panel C</w:t>
      </w:r>
      <w:r>
        <w:t xml:space="preserve"> reports replications of our </w:t>
      </w:r>
      <w:r w:rsidR="001D58A9">
        <w:t>l</w:t>
      </w:r>
      <w:r>
        <w:t xml:space="preserve">iquidity </w:t>
      </w:r>
      <w:r w:rsidR="00FF3D7F">
        <w:t xml:space="preserve">regression </w:t>
      </w:r>
      <w:r w:rsidR="001E5FC2">
        <w:t>analyses using the PSM sample</w:t>
      </w:r>
      <w:r w:rsidR="001D58A9">
        <w:t xml:space="preserve">, </w:t>
      </w:r>
      <w:r w:rsidR="00D0345A">
        <w:t xml:space="preserve">and shows inferences very similar to those </w:t>
      </w:r>
      <w:r w:rsidR="00763E8B">
        <w:t xml:space="preserve">in </w:t>
      </w:r>
      <w:r w:rsidR="00D0345A">
        <w:t xml:space="preserve">table </w:t>
      </w:r>
      <w:r w:rsidR="001D58A9">
        <w:t>4</w:t>
      </w:r>
      <w:r w:rsidR="00D0345A">
        <w:t xml:space="preserve">.  In particular, the coefficient on the interaction term for </w:t>
      </w:r>
      <w:r w:rsidR="00D0345A">
        <w:lastRenderedPageBreak/>
        <w:t xml:space="preserve">segment firms after the </w:t>
      </w:r>
      <w:r w:rsidR="003D678F">
        <w:t xml:space="preserve">formation of Euronext </w:t>
      </w:r>
      <w:r w:rsidR="00D0345A">
        <w:t>is negative and significant for both the percentage of non</w:t>
      </w:r>
      <w:r w:rsidR="000116A7">
        <w:t>-</w:t>
      </w:r>
      <w:r w:rsidR="00D0345A">
        <w:t xml:space="preserve">trading days and the </w:t>
      </w:r>
      <w:r w:rsidR="008910F2">
        <w:t xml:space="preserve">logarithm of </w:t>
      </w:r>
      <w:r w:rsidR="00D0345A">
        <w:t xml:space="preserve">mean bid-ask spread, indicating that increases in liquidity for the segment firms were higher than those for non-segment firms using either proxy for trading liquidity. One difference between the table </w:t>
      </w:r>
      <w:r w:rsidR="008910F2">
        <w:t>9</w:t>
      </w:r>
      <w:r w:rsidR="00D0345A">
        <w:t xml:space="preserve"> results and those on table </w:t>
      </w:r>
      <w:r w:rsidR="001D58A9">
        <w:t>4</w:t>
      </w:r>
      <w:r w:rsidR="00D0345A">
        <w:t xml:space="preserve"> is that the coefficient on </w:t>
      </w:r>
      <w:r w:rsidR="000116A7" w:rsidRPr="009535FB">
        <w:t>Post</w:t>
      </w:r>
      <w:r w:rsidR="009535FB">
        <w:t>-Merger</w:t>
      </w:r>
      <w:r w:rsidR="000116A7" w:rsidRPr="009535FB">
        <w:t xml:space="preserve"> </w:t>
      </w:r>
      <w:r w:rsidR="000116A7">
        <w:t xml:space="preserve">for </w:t>
      </w:r>
      <w:r w:rsidR="00D0345A">
        <w:t xml:space="preserve">the liquidity proxy </w:t>
      </w:r>
      <w:proofErr w:type="spellStart"/>
      <w:r w:rsidR="00D0345A">
        <w:t>perc_zeroret</w:t>
      </w:r>
      <w:proofErr w:type="spellEnd"/>
      <w:r w:rsidR="00D0345A">
        <w:t xml:space="preserve"> is negative and marginally significant without the control variables (negative and not significant with the control variables)</w:t>
      </w:r>
      <w:r w:rsidR="002B4EE6">
        <w:t>.</w:t>
      </w:r>
      <w:r w:rsidR="00D0345A">
        <w:t xml:space="preserve">  </w:t>
      </w:r>
    </w:p>
    <w:p w:rsidR="008910F2" w:rsidRPr="007A714A" w:rsidRDefault="008910F2" w:rsidP="001D58A9">
      <w:pPr>
        <w:spacing w:line="480" w:lineRule="auto"/>
        <w:ind w:firstLine="432"/>
        <w:jc w:val="both"/>
      </w:pPr>
    </w:p>
    <w:p w:rsidR="00A33F7E" w:rsidRDefault="0043265F" w:rsidP="00670D05">
      <w:pPr>
        <w:spacing w:line="480" w:lineRule="auto"/>
        <w:rPr>
          <w:b/>
          <w:color w:val="000000"/>
        </w:rPr>
      </w:pPr>
      <w:r>
        <w:rPr>
          <w:b/>
          <w:color w:val="000000"/>
        </w:rPr>
        <w:t>5</w:t>
      </w:r>
      <w:r w:rsidR="00375D10">
        <w:rPr>
          <w:b/>
          <w:color w:val="000000"/>
        </w:rPr>
        <w:t>.2</w:t>
      </w:r>
      <w:r w:rsidR="00A33F7E">
        <w:rPr>
          <w:b/>
          <w:color w:val="000000"/>
        </w:rPr>
        <w:t xml:space="preserve"> Sensitivity of the Liquidity Results to Benchmark</w:t>
      </w:r>
    </w:p>
    <w:p w:rsidR="00A33F7E" w:rsidRDefault="00A33F7E" w:rsidP="00175265">
      <w:pPr>
        <w:spacing w:line="480" w:lineRule="auto"/>
        <w:jc w:val="both"/>
        <w:rPr>
          <w:b/>
          <w:color w:val="000000"/>
        </w:rPr>
      </w:pPr>
      <w:r>
        <w:rPr>
          <w:color w:val="000000"/>
        </w:rPr>
        <w:tab/>
      </w:r>
      <w:r w:rsidR="003B1F7D">
        <w:rPr>
          <w:color w:val="000000"/>
        </w:rPr>
        <w:t xml:space="preserve">We note </w:t>
      </w:r>
      <w:r>
        <w:rPr>
          <w:color w:val="000000"/>
        </w:rPr>
        <w:t xml:space="preserve">that table </w:t>
      </w:r>
      <w:r w:rsidR="001D58A9">
        <w:rPr>
          <w:color w:val="000000"/>
        </w:rPr>
        <w:t>4</w:t>
      </w:r>
      <w:r>
        <w:rPr>
          <w:color w:val="000000"/>
        </w:rPr>
        <w:t xml:space="preserve"> documents a systematic decrease in liquidity for Euronext-listed firms after the merger, although the segment-listed firms garnered liquidity. The difference</w:t>
      </w:r>
      <w:r w:rsidR="009535FB">
        <w:rPr>
          <w:color w:val="000000"/>
        </w:rPr>
        <w:t>-</w:t>
      </w:r>
      <w:r>
        <w:rPr>
          <w:color w:val="000000"/>
        </w:rPr>
        <w:t>in</w:t>
      </w:r>
      <w:r w:rsidR="009535FB">
        <w:rPr>
          <w:color w:val="000000"/>
        </w:rPr>
        <w:t>-</w:t>
      </w:r>
      <w:r>
        <w:rPr>
          <w:color w:val="000000"/>
        </w:rPr>
        <w:t xml:space="preserve">differences between the </w:t>
      </w:r>
      <w:r w:rsidR="000116A7">
        <w:rPr>
          <w:color w:val="000000"/>
        </w:rPr>
        <w:t>segment and non-segment firms might be</w:t>
      </w:r>
      <w:r>
        <w:rPr>
          <w:color w:val="000000"/>
        </w:rPr>
        <w:t xml:space="preserve"> driven by the significant decrease in liquidity amo</w:t>
      </w:r>
      <w:r w:rsidR="000116A7">
        <w:rPr>
          <w:color w:val="000000"/>
        </w:rPr>
        <w:t xml:space="preserve">ng the non-segment firms. Therefore, one concern is </w:t>
      </w:r>
      <w:r>
        <w:rPr>
          <w:color w:val="000000"/>
        </w:rPr>
        <w:t>the extent to which the non-segment firms are a good control for contemporaneous events.</w:t>
      </w:r>
      <w:r w:rsidR="002D4FE9">
        <w:rPr>
          <w:color w:val="000000"/>
        </w:rPr>
        <w:t xml:space="preserve"> A comparison of the market value distributions for the segment vs. non-segment firms (untabulated) shows the largest firms in the right tail of the non-segment firms</w:t>
      </w:r>
      <w:r w:rsidR="00AE44BB">
        <w:rPr>
          <w:color w:val="000000"/>
        </w:rPr>
        <w:t>’</w:t>
      </w:r>
      <w:r w:rsidR="002D4FE9">
        <w:rPr>
          <w:color w:val="000000"/>
        </w:rPr>
        <w:t xml:space="preserve"> distribution, suggesting that the largest firms from the predecessor exchanges chose not to join the segments.</w:t>
      </w:r>
      <w:r w:rsidR="002D4FE9">
        <w:rPr>
          <w:rStyle w:val="FootnoteReference"/>
          <w:color w:val="000000"/>
        </w:rPr>
        <w:footnoteReference w:id="37"/>
      </w:r>
      <w:r w:rsidR="002D4FE9">
        <w:rPr>
          <w:color w:val="000000"/>
        </w:rPr>
        <w:t xml:space="preserve"> </w:t>
      </w:r>
      <w:r>
        <w:rPr>
          <w:color w:val="000000"/>
        </w:rPr>
        <w:t xml:space="preserve"> To assess the sensitivity of our liquidity results to alternative benchmarks, </w:t>
      </w:r>
      <w:r w:rsidR="008E6AEA">
        <w:rPr>
          <w:color w:val="000000"/>
        </w:rPr>
        <w:t xml:space="preserve">we </w:t>
      </w:r>
      <w:r w:rsidR="007A5D65">
        <w:rPr>
          <w:color w:val="000000"/>
        </w:rPr>
        <w:t xml:space="preserve">split the segment and non-segment firms into size quintiles, and found that for all five quintiles and both liquidity proxies, the segment firms experience increases in liquidity </w:t>
      </w:r>
      <w:r w:rsidR="00914CF5">
        <w:rPr>
          <w:color w:val="000000"/>
        </w:rPr>
        <w:t xml:space="preserve">after </w:t>
      </w:r>
      <w:r w:rsidR="007A5D65">
        <w:rPr>
          <w:color w:val="000000"/>
        </w:rPr>
        <w:t xml:space="preserve">the merger.  On the other hand, </w:t>
      </w:r>
      <w:r w:rsidR="00914CF5">
        <w:rPr>
          <w:color w:val="000000"/>
        </w:rPr>
        <w:t xml:space="preserve">for </w:t>
      </w:r>
      <w:r w:rsidR="007A5D65">
        <w:rPr>
          <w:color w:val="000000"/>
        </w:rPr>
        <w:t>four of the five size quintiles (all except quintile 4)</w:t>
      </w:r>
      <w:r w:rsidR="00914CF5">
        <w:rPr>
          <w:color w:val="000000"/>
        </w:rPr>
        <w:t>, the non-segment firms</w:t>
      </w:r>
      <w:r w:rsidR="007A5D65">
        <w:rPr>
          <w:color w:val="000000"/>
        </w:rPr>
        <w:t xml:space="preserve"> experienced liquidity decreases </w:t>
      </w:r>
      <w:r w:rsidR="003D678F">
        <w:rPr>
          <w:color w:val="000000"/>
        </w:rPr>
        <w:t xml:space="preserve">after </w:t>
      </w:r>
      <w:r w:rsidR="007A5D65">
        <w:rPr>
          <w:color w:val="000000"/>
        </w:rPr>
        <w:t>the merger, assessed using both liquidity proxies. W</w:t>
      </w:r>
      <w:r>
        <w:rPr>
          <w:color w:val="000000"/>
        </w:rPr>
        <w:t xml:space="preserve">e </w:t>
      </w:r>
      <w:r w:rsidR="007A5D65">
        <w:rPr>
          <w:color w:val="000000"/>
        </w:rPr>
        <w:t xml:space="preserve">also </w:t>
      </w:r>
      <w:r>
        <w:rPr>
          <w:color w:val="000000"/>
        </w:rPr>
        <w:t xml:space="preserve">re-estimated the liquidity regressions </w:t>
      </w:r>
      <w:r w:rsidR="007A5D65">
        <w:rPr>
          <w:color w:val="000000"/>
        </w:rPr>
        <w:t xml:space="preserve">excluding the largest quintile of non-segment firms, which could arguably be global firms with multiple cross-listings and sufficient liquidity that the </w:t>
      </w:r>
      <w:r w:rsidR="003D678F">
        <w:rPr>
          <w:color w:val="000000"/>
        </w:rPr>
        <w:t xml:space="preserve">formation </w:t>
      </w:r>
      <w:r w:rsidR="007A5D65">
        <w:rPr>
          <w:color w:val="000000"/>
        </w:rPr>
        <w:t xml:space="preserve">of Euronext did not make a significant difference </w:t>
      </w:r>
      <w:r w:rsidR="007A5D65">
        <w:rPr>
          <w:color w:val="000000"/>
        </w:rPr>
        <w:lastRenderedPageBreak/>
        <w:t xml:space="preserve">in their shares trading.  The liquidity regressions support identical inferences using either the full sample </w:t>
      </w:r>
      <w:r w:rsidR="006911D7">
        <w:rPr>
          <w:color w:val="000000"/>
        </w:rPr>
        <w:t xml:space="preserve">or </w:t>
      </w:r>
      <w:r w:rsidR="007A5D65">
        <w:rPr>
          <w:color w:val="000000"/>
        </w:rPr>
        <w:t xml:space="preserve">the bottom 80% of the non-segment firm size distribution.  </w:t>
      </w:r>
      <w:r>
        <w:rPr>
          <w:color w:val="000000"/>
        </w:rPr>
        <w:t xml:space="preserve"> </w:t>
      </w:r>
      <w:r w:rsidR="00375D10">
        <w:rPr>
          <w:b/>
          <w:color w:val="000000"/>
        </w:rPr>
        <w:t xml:space="preserve"> </w:t>
      </w:r>
    </w:p>
    <w:p w:rsidR="00264BC5" w:rsidRDefault="00264BC5" w:rsidP="00670D05">
      <w:pPr>
        <w:spacing w:line="480" w:lineRule="auto"/>
        <w:rPr>
          <w:b/>
          <w:color w:val="000000"/>
        </w:rPr>
      </w:pPr>
    </w:p>
    <w:p w:rsidR="00375D10" w:rsidRDefault="0043265F" w:rsidP="00670D05">
      <w:pPr>
        <w:spacing w:line="480" w:lineRule="auto"/>
        <w:rPr>
          <w:b/>
          <w:color w:val="000000"/>
        </w:rPr>
      </w:pPr>
      <w:r>
        <w:rPr>
          <w:b/>
          <w:color w:val="000000"/>
        </w:rPr>
        <w:t>5</w:t>
      </w:r>
      <w:r w:rsidR="00A33F7E">
        <w:rPr>
          <w:b/>
          <w:color w:val="000000"/>
        </w:rPr>
        <w:t xml:space="preserve">.3 </w:t>
      </w:r>
      <w:r w:rsidR="00375D10">
        <w:rPr>
          <w:b/>
          <w:color w:val="000000"/>
        </w:rPr>
        <w:t>Other Diagnostics and Extensions</w:t>
      </w:r>
    </w:p>
    <w:p w:rsidR="00E963CA" w:rsidRDefault="00E963CA" w:rsidP="00175265">
      <w:pPr>
        <w:autoSpaceDE w:val="0"/>
        <w:autoSpaceDN w:val="0"/>
        <w:adjustRightInd w:val="0"/>
        <w:spacing w:line="480" w:lineRule="auto"/>
        <w:jc w:val="both"/>
        <w:rPr>
          <w:rFonts w:cs="Arial"/>
        </w:rPr>
      </w:pPr>
      <w:r>
        <w:tab/>
      </w:r>
      <w:r w:rsidR="003F10BD">
        <w:t>W</w:t>
      </w:r>
      <w:r>
        <w:t xml:space="preserve">e </w:t>
      </w:r>
      <w:r w:rsidR="008910F2">
        <w:t xml:space="preserve">further </w:t>
      </w:r>
      <w:r>
        <w:t xml:space="preserve">addressed the sensitivity of the results to two features of our empirical design.  First, we aggregated NextPrime and NextEconomy firms together in the category </w:t>
      </w:r>
      <w:r w:rsidRPr="005A3DCC">
        <w:t xml:space="preserve">"segment firms", </w:t>
      </w:r>
      <w:r w:rsidR="008E6AEA">
        <w:t xml:space="preserve">even though </w:t>
      </w:r>
      <w:r w:rsidR="00EF048F">
        <w:t xml:space="preserve">liquidity and </w:t>
      </w:r>
      <w:r w:rsidR="008E6AEA">
        <w:t xml:space="preserve">accounting quality </w:t>
      </w:r>
      <w:r>
        <w:t xml:space="preserve">may vary between the two segments due to the characteristics of the firms choosing to list on each segment. To address the sensitivity of our results to differences between the segments, </w:t>
      </w:r>
      <w:r w:rsidR="008E6AEA">
        <w:t>we repeated the analyses</w:t>
      </w:r>
      <w:r w:rsidRPr="005A3DCC">
        <w:t xml:space="preserve"> separately for the separate segments. The results (untabulated) are not i</w:t>
      </w:r>
      <w:r w:rsidR="008E6AEA">
        <w:t>nconsistent with the results reported in the paper</w:t>
      </w:r>
      <w:r w:rsidRPr="005A3DCC">
        <w:t xml:space="preserve">, in that </w:t>
      </w:r>
      <w:r w:rsidR="009535FB">
        <w:t xml:space="preserve">liquidity and </w:t>
      </w:r>
      <w:r w:rsidR="008E6AEA">
        <w:t xml:space="preserve">accounting quality  </w:t>
      </w:r>
      <w:r w:rsidRPr="00432EF6">
        <w:rPr>
          <w:rFonts w:cs="Arial"/>
        </w:rPr>
        <w:t>increase</w:t>
      </w:r>
      <w:r w:rsidR="009535FB">
        <w:rPr>
          <w:rFonts w:cs="Arial"/>
        </w:rPr>
        <w:t>d</w:t>
      </w:r>
      <w:r w:rsidRPr="00432EF6">
        <w:rPr>
          <w:rFonts w:cs="Arial"/>
        </w:rPr>
        <w:t xml:space="preserve"> for both the NextEconomy and Ne</w:t>
      </w:r>
      <w:r w:rsidR="009535FB">
        <w:rPr>
          <w:rFonts w:cs="Arial"/>
        </w:rPr>
        <w:t>xtPrime firms from before</w:t>
      </w:r>
      <w:r w:rsidRPr="00432EF6">
        <w:rPr>
          <w:rFonts w:cs="Arial"/>
        </w:rPr>
        <w:t xml:space="preserve"> to after the merger,</w:t>
      </w:r>
      <w:r w:rsidR="008E6AEA">
        <w:rPr>
          <w:rFonts w:cs="Arial"/>
        </w:rPr>
        <w:t xml:space="preserve"> </w:t>
      </w:r>
      <w:r w:rsidR="00E5620C">
        <w:rPr>
          <w:rFonts w:cs="Arial"/>
        </w:rPr>
        <w:t xml:space="preserve">though </w:t>
      </w:r>
      <w:r w:rsidR="008E6AEA">
        <w:rPr>
          <w:rFonts w:cs="Arial"/>
        </w:rPr>
        <w:t>with varying statistical significance</w:t>
      </w:r>
      <w:r w:rsidRPr="00432EF6">
        <w:rPr>
          <w:rFonts w:cs="Arial"/>
        </w:rPr>
        <w:t xml:space="preserve">. </w:t>
      </w:r>
      <w:r>
        <w:rPr>
          <w:rFonts w:cs="Arial"/>
        </w:rPr>
        <w:t>Second, w</w:t>
      </w:r>
      <w:r w:rsidRPr="00432EF6">
        <w:rPr>
          <w:rFonts w:cs="Arial"/>
        </w:rPr>
        <w:t xml:space="preserve">e addressed the dominance of Paris-listed firms in the sample (from table </w:t>
      </w:r>
      <w:r>
        <w:rPr>
          <w:rFonts w:cs="Arial"/>
        </w:rPr>
        <w:t>3</w:t>
      </w:r>
      <w:r w:rsidR="008E6AEA">
        <w:rPr>
          <w:rFonts w:cs="Arial"/>
        </w:rPr>
        <w:t xml:space="preserve"> panel A</w:t>
      </w:r>
      <w:r w:rsidRPr="00432EF6">
        <w:rPr>
          <w:rFonts w:cs="Arial"/>
        </w:rPr>
        <w:t xml:space="preserve">, </w:t>
      </w:r>
      <w:r>
        <w:rPr>
          <w:rFonts w:cs="Arial"/>
        </w:rPr>
        <w:t>755</w:t>
      </w:r>
      <w:r w:rsidRPr="00432EF6">
        <w:rPr>
          <w:rFonts w:cs="Arial"/>
        </w:rPr>
        <w:t xml:space="preserve"> of the 1,</w:t>
      </w:r>
      <w:r>
        <w:rPr>
          <w:rFonts w:cs="Arial"/>
        </w:rPr>
        <w:t>058</w:t>
      </w:r>
      <w:r w:rsidRPr="00432EF6">
        <w:rPr>
          <w:rFonts w:cs="Arial"/>
        </w:rPr>
        <w:t xml:space="preserve"> firms in the initial sample were </w:t>
      </w:r>
      <w:r>
        <w:rPr>
          <w:rFonts w:cs="Arial"/>
        </w:rPr>
        <w:t>French</w:t>
      </w:r>
      <w:r w:rsidRPr="00432EF6">
        <w:rPr>
          <w:rFonts w:cs="Arial"/>
        </w:rPr>
        <w:t xml:space="preserve">), by </w:t>
      </w:r>
      <w:r w:rsidR="008E6AEA">
        <w:rPr>
          <w:rFonts w:cs="Arial"/>
        </w:rPr>
        <w:t>repeating the analyses</w:t>
      </w:r>
      <w:r w:rsidRPr="00432EF6">
        <w:rPr>
          <w:rFonts w:cs="Arial"/>
        </w:rPr>
        <w:t xml:space="preserve"> for just the Paris-listed firms. The results (untabulated) </w:t>
      </w:r>
      <w:r>
        <w:rPr>
          <w:rFonts w:cs="Arial"/>
        </w:rPr>
        <w:t>support the same inferences as</w:t>
      </w:r>
      <w:r w:rsidRPr="00432EF6">
        <w:rPr>
          <w:rFonts w:cs="Arial"/>
        </w:rPr>
        <w:t xml:space="preserve"> </w:t>
      </w:r>
      <w:r w:rsidR="00FF3D7F">
        <w:rPr>
          <w:rFonts w:cs="Arial"/>
        </w:rPr>
        <w:t xml:space="preserve">those </w:t>
      </w:r>
      <w:r w:rsidR="008E6AEA">
        <w:rPr>
          <w:rFonts w:cs="Arial"/>
        </w:rPr>
        <w:t>reported in the paper</w:t>
      </w:r>
      <w:r w:rsidRPr="00432EF6">
        <w:rPr>
          <w:rFonts w:cs="Arial"/>
        </w:rPr>
        <w:t xml:space="preserve">, and suggest that </w:t>
      </w:r>
      <w:r w:rsidR="009535FB">
        <w:rPr>
          <w:rFonts w:cs="Arial"/>
        </w:rPr>
        <w:t xml:space="preserve">liquidity and </w:t>
      </w:r>
      <w:r w:rsidR="008E6AEA">
        <w:rPr>
          <w:rFonts w:cs="Arial"/>
        </w:rPr>
        <w:t xml:space="preserve">accounting quality </w:t>
      </w:r>
      <w:r w:rsidRPr="00432EF6">
        <w:rPr>
          <w:rFonts w:cs="Arial"/>
        </w:rPr>
        <w:t>increased from before to after the merger for the French segment firms but not for the French non-segment firms.</w:t>
      </w:r>
    </w:p>
    <w:p w:rsidR="00B1278D" w:rsidRDefault="00E5620C" w:rsidP="00175265">
      <w:pPr>
        <w:spacing w:line="480" w:lineRule="auto"/>
        <w:ind w:firstLine="432"/>
        <w:jc w:val="both"/>
        <w:rPr>
          <w:color w:val="000000"/>
        </w:rPr>
      </w:pPr>
      <w:r>
        <w:rPr>
          <w:color w:val="000000"/>
        </w:rPr>
        <w:t>Next</w:t>
      </w:r>
      <w:r w:rsidR="00891D86">
        <w:rPr>
          <w:color w:val="000000"/>
        </w:rPr>
        <w:t>, we compared</w:t>
      </w:r>
      <w:r w:rsidR="00375D10">
        <w:rPr>
          <w:color w:val="000000"/>
        </w:rPr>
        <w:t xml:space="preserve"> the distribution of firms from the predecessor exchanges in the full sample, listed on NextEconomy, listed on NextPrime, included in the segment firm category, and included in the non-segment firm category</w:t>
      </w:r>
      <w:r w:rsidR="008E6AEA">
        <w:rPr>
          <w:color w:val="000000"/>
        </w:rPr>
        <w:t xml:space="preserve"> </w:t>
      </w:r>
      <w:r w:rsidR="008E6AEA" w:rsidRPr="00432EF6">
        <w:rPr>
          <w:rFonts w:cs="Arial"/>
        </w:rPr>
        <w:t>(untabulated)</w:t>
      </w:r>
      <w:r w:rsidR="00375D10">
        <w:rPr>
          <w:color w:val="000000"/>
        </w:rPr>
        <w:t xml:space="preserve">. This </w:t>
      </w:r>
      <w:r w:rsidR="00891D86">
        <w:rPr>
          <w:color w:val="000000"/>
        </w:rPr>
        <w:t>comparison</w:t>
      </w:r>
      <w:r w:rsidR="00375D10">
        <w:rPr>
          <w:color w:val="000000"/>
        </w:rPr>
        <w:t xml:space="preserve"> addresses the homogeneity of firms listed on the predecessor exchanges, and the geographical composition of the segment firm category. Dutch firms are slightly over-represented on the named segments (15.91% on the segments vs. 14.36% on Euronext).  This over-representation is driven by Dutch firms' presence on the NextPrime segment (22% Dutch), which was established for traditional firms. On the other hand, French firms are under-represented on </w:t>
      </w:r>
      <w:r w:rsidR="00375D10">
        <w:rPr>
          <w:color w:val="000000"/>
        </w:rPr>
        <w:lastRenderedPageBreak/>
        <w:t xml:space="preserve">the segments (70.15% on Euronext but 64.2% on the segments) and this under-representation is driven by over-representation on NextEconomy (established for high-tech firms) and under-representation on NextPrime. Portuguese firms are a very small percentage in each category, and Belgian firms are considerably over-represented on both segments.  </w:t>
      </w:r>
    </w:p>
    <w:p w:rsidR="00375D10" w:rsidRDefault="003F10BD" w:rsidP="00175265">
      <w:pPr>
        <w:spacing w:line="480" w:lineRule="auto"/>
        <w:ind w:firstLine="432"/>
        <w:jc w:val="both"/>
        <w:rPr>
          <w:color w:val="000000"/>
        </w:rPr>
      </w:pPr>
      <w:r>
        <w:rPr>
          <w:color w:val="000000"/>
        </w:rPr>
        <w:t>Finally, t</w:t>
      </w:r>
      <w:r w:rsidR="00B1278D">
        <w:rPr>
          <w:color w:val="000000"/>
        </w:rPr>
        <w:t>o investigate the possibility that our segment results might be driven by the exchange sub-sample</w:t>
      </w:r>
      <w:r w:rsidR="0068313B">
        <w:rPr>
          <w:color w:val="000000"/>
        </w:rPr>
        <w:t>s</w:t>
      </w:r>
      <w:r w:rsidR="00B1278D">
        <w:rPr>
          <w:color w:val="000000"/>
        </w:rPr>
        <w:t>, w</w:t>
      </w:r>
      <w:r w:rsidR="00375D10">
        <w:rPr>
          <w:color w:val="000000"/>
        </w:rPr>
        <w:t xml:space="preserve">e replicated various </w:t>
      </w:r>
      <w:r w:rsidR="009535FB">
        <w:rPr>
          <w:color w:val="000000"/>
        </w:rPr>
        <w:t xml:space="preserve">liquidity and </w:t>
      </w:r>
      <w:r w:rsidR="00375D10">
        <w:rPr>
          <w:color w:val="000000"/>
        </w:rPr>
        <w:t>accounting quality comparisons for the predecessor</w:t>
      </w:r>
      <w:r w:rsidR="008E6AEA">
        <w:rPr>
          <w:color w:val="000000"/>
        </w:rPr>
        <w:t xml:space="preserve"> exchanges pre- and post-merger</w:t>
      </w:r>
      <w:r w:rsidR="00375D10">
        <w:rPr>
          <w:color w:val="000000"/>
        </w:rPr>
        <w:t xml:space="preserve">. The results (untabulated) are generally </w:t>
      </w:r>
      <w:r w:rsidR="00B1278D">
        <w:rPr>
          <w:color w:val="000000"/>
        </w:rPr>
        <w:t xml:space="preserve">smaller and insignificant, suggesting that our primary empirical results cannot be explained by the changes in </w:t>
      </w:r>
      <w:r w:rsidR="009535FB">
        <w:rPr>
          <w:color w:val="000000"/>
        </w:rPr>
        <w:t xml:space="preserve">liquidity and </w:t>
      </w:r>
      <w:r w:rsidR="00B1278D">
        <w:rPr>
          <w:color w:val="000000"/>
        </w:rPr>
        <w:t xml:space="preserve">accounting quality in the exchange sub-samples. </w:t>
      </w:r>
    </w:p>
    <w:p w:rsidR="00375D10" w:rsidRDefault="00375D10" w:rsidP="00670D05"/>
    <w:p w:rsidR="00000F83" w:rsidRDefault="00000F83" w:rsidP="00670D05"/>
    <w:p w:rsidR="00852407" w:rsidRDefault="0043265F" w:rsidP="0043265F">
      <w:pPr>
        <w:spacing w:after="200" w:line="276" w:lineRule="auto"/>
        <w:outlineLvl w:val="0"/>
        <w:rPr>
          <w:b/>
          <w:color w:val="000000"/>
        </w:rPr>
      </w:pPr>
      <w:r>
        <w:rPr>
          <w:b/>
          <w:color w:val="000000"/>
        </w:rPr>
        <w:t>6</w:t>
      </w:r>
      <w:r w:rsidR="0052102F">
        <w:rPr>
          <w:b/>
          <w:color w:val="000000"/>
        </w:rPr>
        <w:t>.</w:t>
      </w:r>
      <w:r w:rsidR="006D0625">
        <w:rPr>
          <w:b/>
          <w:color w:val="000000"/>
        </w:rPr>
        <w:t xml:space="preserve"> </w:t>
      </w:r>
      <w:r w:rsidR="003F10BD">
        <w:rPr>
          <w:b/>
          <w:color w:val="000000"/>
        </w:rPr>
        <w:t xml:space="preserve">Summary and </w:t>
      </w:r>
      <w:r w:rsidR="0052102F">
        <w:rPr>
          <w:b/>
          <w:color w:val="000000"/>
        </w:rPr>
        <w:t>Conclusions</w:t>
      </w:r>
    </w:p>
    <w:p w:rsidR="009535FB" w:rsidRDefault="00852407" w:rsidP="00612E04">
      <w:pPr>
        <w:spacing w:line="480" w:lineRule="auto"/>
        <w:ind w:firstLine="432"/>
        <w:jc w:val="both"/>
        <w:rPr>
          <w:color w:val="000000"/>
        </w:rPr>
      </w:pPr>
      <w:r>
        <w:rPr>
          <w:color w:val="000000"/>
        </w:rPr>
        <w:t>In this paper</w:t>
      </w:r>
      <w:r w:rsidR="00224522">
        <w:rPr>
          <w:color w:val="000000"/>
        </w:rPr>
        <w:t>,</w:t>
      </w:r>
      <w:r>
        <w:rPr>
          <w:color w:val="000000"/>
        </w:rPr>
        <w:t xml:space="preserve"> we described the formation of the Euronext stock </w:t>
      </w:r>
      <w:r w:rsidR="001405F2">
        <w:rPr>
          <w:color w:val="000000"/>
        </w:rPr>
        <w:t>market</w:t>
      </w:r>
      <w:r>
        <w:rPr>
          <w:color w:val="000000"/>
        </w:rPr>
        <w:t xml:space="preserve"> from the predecessor exchanges in </w:t>
      </w:r>
      <w:r w:rsidR="00462C44">
        <w:rPr>
          <w:color w:val="000000"/>
        </w:rPr>
        <w:t xml:space="preserve">Amsterdam, Brussels, </w:t>
      </w:r>
      <w:r>
        <w:rPr>
          <w:color w:val="000000"/>
        </w:rPr>
        <w:t>Paris, and Lisbon</w:t>
      </w:r>
      <w:r w:rsidR="000805BF">
        <w:rPr>
          <w:color w:val="000000"/>
        </w:rPr>
        <w:t>;</w:t>
      </w:r>
      <w:r w:rsidR="0079078D">
        <w:rPr>
          <w:color w:val="000000"/>
        </w:rPr>
        <w:t xml:space="preserve"> the integration of </w:t>
      </w:r>
      <w:r w:rsidR="000A4F57">
        <w:rPr>
          <w:color w:val="000000"/>
        </w:rPr>
        <w:t>the trading platform that made all Euronext-listed securities available to market participants from each of the four countries</w:t>
      </w:r>
      <w:r w:rsidR="00A25BE8">
        <w:rPr>
          <w:color w:val="000000"/>
        </w:rPr>
        <w:t>;</w:t>
      </w:r>
      <w:r w:rsidR="000A4F57">
        <w:rPr>
          <w:color w:val="000000"/>
        </w:rPr>
        <w:t xml:space="preserve"> the integration of </w:t>
      </w:r>
      <w:r w:rsidR="0079078D">
        <w:rPr>
          <w:color w:val="000000"/>
        </w:rPr>
        <w:t xml:space="preserve">regulation from the four </w:t>
      </w:r>
      <w:r w:rsidR="00233677">
        <w:rPr>
          <w:color w:val="000000"/>
        </w:rPr>
        <w:t>exchanges</w:t>
      </w:r>
      <w:r w:rsidR="000805BF">
        <w:rPr>
          <w:color w:val="000000"/>
        </w:rPr>
        <w:t>;</w:t>
      </w:r>
      <w:r w:rsidR="0079078D">
        <w:rPr>
          <w:color w:val="000000"/>
        </w:rPr>
        <w:t xml:space="preserve"> and the creation of </w:t>
      </w:r>
      <w:r w:rsidR="00057CB6">
        <w:rPr>
          <w:color w:val="000000"/>
        </w:rPr>
        <w:t xml:space="preserve">named </w:t>
      </w:r>
      <w:r w:rsidR="0079078D">
        <w:rPr>
          <w:color w:val="000000"/>
        </w:rPr>
        <w:t>segment</w:t>
      </w:r>
      <w:r w:rsidR="001405F2">
        <w:rPr>
          <w:color w:val="000000"/>
        </w:rPr>
        <w:t>s</w:t>
      </w:r>
      <w:r w:rsidR="0079078D">
        <w:rPr>
          <w:color w:val="000000"/>
        </w:rPr>
        <w:t xml:space="preserve"> of Euronext that facilitated pre-commitments to enhanced financial reporting quality and transparency</w:t>
      </w:r>
      <w:r w:rsidR="00F31628">
        <w:rPr>
          <w:color w:val="000000"/>
        </w:rPr>
        <w:t xml:space="preserve">. </w:t>
      </w:r>
      <w:r w:rsidR="00680B4C">
        <w:rPr>
          <w:color w:val="000000"/>
        </w:rPr>
        <w:t>We tested the hypothes</w:t>
      </w:r>
      <w:r w:rsidR="00057CB6">
        <w:rPr>
          <w:color w:val="000000"/>
        </w:rPr>
        <w:t>e</w:t>
      </w:r>
      <w:r w:rsidR="00680B4C">
        <w:rPr>
          <w:color w:val="000000"/>
        </w:rPr>
        <w:t xml:space="preserve">s that </w:t>
      </w:r>
      <w:r w:rsidR="00057CB6">
        <w:rPr>
          <w:color w:val="000000"/>
        </w:rPr>
        <w:t xml:space="preserve">(H1) liquidity increased for the Euronext-listed firms at the time of the merger; (H1A) liquidity increased more for the firms that chose to join the named segments; and (H1B) liquidity increased more for the segment firms that complied more fully with the financial reporting provisions of their Commitment Agreements.  We </w:t>
      </w:r>
      <w:r w:rsidR="00A34C60">
        <w:rPr>
          <w:color w:val="000000"/>
        </w:rPr>
        <w:t>used bid-ask spread and the percent</w:t>
      </w:r>
      <w:r w:rsidR="00224522">
        <w:rPr>
          <w:color w:val="000000"/>
        </w:rPr>
        <w:t>age</w:t>
      </w:r>
      <w:r w:rsidR="00A34C60">
        <w:rPr>
          <w:color w:val="000000"/>
        </w:rPr>
        <w:t xml:space="preserve"> of days on which no trading occurred as proxies for liquidity, and </w:t>
      </w:r>
      <w:r w:rsidR="00057CB6">
        <w:rPr>
          <w:color w:val="000000"/>
        </w:rPr>
        <w:t xml:space="preserve">found that liquidity did not increase after the merger across the sample of Euronext-listed firms, but consistent with H1A and H1B, liquidity increased for the segment firms and especially for the segment firms that complied more fully with their pre-commitments.  </w:t>
      </w:r>
    </w:p>
    <w:p w:rsidR="00891D86" w:rsidRDefault="00057CB6" w:rsidP="00612E04">
      <w:pPr>
        <w:spacing w:line="480" w:lineRule="auto"/>
        <w:ind w:firstLine="432"/>
        <w:jc w:val="both"/>
        <w:rPr>
          <w:color w:val="000000"/>
        </w:rPr>
      </w:pPr>
      <w:r>
        <w:rPr>
          <w:color w:val="000000"/>
        </w:rPr>
        <w:lastRenderedPageBreak/>
        <w:t>We also tested the hypotheses that (H2) Euronext firms increased their accounting quality at the time of the merger; (H2A) segment firms increased their accounting quality more; and (H2B</w:t>
      </w:r>
      <w:r w:rsidR="009535FB">
        <w:rPr>
          <w:color w:val="000000"/>
        </w:rPr>
        <w:t>)</w:t>
      </w:r>
      <w:r>
        <w:rPr>
          <w:color w:val="000000"/>
        </w:rPr>
        <w:t xml:space="preserve"> </w:t>
      </w:r>
      <w:r w:rsidR="00FF3D7F">
        <w:rPr>
          <w:color w:val="000000"/>
        </w:rPr>
        <w:t xml:space="preserve">segment </w:t>
      </w:r>
      <w:r>
        <w:rPr>
          <w:color w:val="000000"/>
        </w:rPr>
        <w:t xml:space="preserve">firms that were more fully </w:t>
      </w:r>
      <w:r w:rsidR="006924BC">
        <w:rPr>
          <w:color w:val="000000"/>
        </w:rPr>
        <w:t xml:space="preserve">compliant </w:t>
      </w:r>
      <w:r>
        <w:rPr>
          <w:color w:val="000000"/>
        </w:rPr>
        <w:t xml:space="preserve">with the provisions of their Commitment Agreements also made measurement choices that increased their accounting quality.  </w:t>
      </w:r>
      <w:r w:rsidR="00A34C60">
        <w:rPr>
          <w:color w:val="000000"/>
        </w:rPr>
        <w:t xml:space="preserve">We used timely loss recognition, variability of net income relative to variability of operating cash flows, and correlation between accruals and operating cash flows as proxies for accounting quality.  We </w:t>
      </w:r>
      <w:r w:rsidR="00680B4C">
        <w:rPr>
          <w:color w:val="000000"/>
        </w:rPr>
        <w:t xml:space="preserve">found </w:t>
      </w:r>
      <w:r w:rsidR="00A34C60">
        <w:rPr>
          <w:color w:val="000000"/>
        </w:rPr>
        <w:t xml:space="preserve">little </w:t>
      </w:r>
      <w:r w:rsidR="00680B4C">
        <w:rPr>
          <w:color w:val="000000"/>
        </w:rPr>
        <w:t xml:space="preserve">support </w:t>
      </w:r>
      <w:r w:rsidR="00891D86">
        <w:rPr>
          <w:color w:val="000000"/>
        </w:rPr>
        <w:t xml:space="preserve">for </w:t>
      </w:r>
      <w:r w:rsidR="00680B4C">
        <w:rPr>
          <w:color w:val="000000"/>
        </w:rPr>
        <w:t>hypothes</w:t>
      </w:r>
      <w:r w:rsidR="00A34C60">
        <w:rPr>
          <w:color w:val="000000"/>
        </w:rPr>
        <w:t>i</w:t>
      </w:r>
      <w:r w:rsidR="00680B4C">
        <w:rPr>
          <w:color w:val="000000"/>
        </w:rPr>
        <w:t>s</w:t>
      </w:r>
      <w:r w:rsidR="007866B0">
        <w:rPr>
          <w:color w:val="000000"/>
        </w:rPr>
        <w:t xml:space="preserve"> </w:t>
      </w:r>
      <w:r w:rsidR="00A34C60">
        <w:rPr>
          <w:color w:val="000000"/>
        </w:rPr>
        <w:t xml:space="preserve">H2 (that accounting quality increased for all Euronext-listed firms at the time of the merger) and some support for H2A (that accounting quality increased at the time of the merger for segment firms).  We found strong support for H2B (that accounting quality increased for high-compliance segment firms) </w:t>
      </w:r>
      <w:r w:rsidR="007866B0">
        <w:rPr>
          <w:color w:val="000000"/>
        </w:rPr>
        <w:t xml:space="preserve">using </w:t>
      </w:r>
      <w:r w:rsidR="00A34C60">
        <w:rPr>
          <w:color w:val="000000"/>
        </w:rPr>
        <w:t>all three proxies for earnings quality and evaluating the increase against either the pre-merger accounting quality of the high</w:t>
      </w:r>
      <w:r w:rsidR="003B6ABF">
        <w:rPr>
          <w:color w:val="000000"/>
        </w:rPr>
        <w:t>-</w:t>
      </w:r>
      <w:r w:rsidR="00A34C60">
        <w:rPr>
          <w:color w:val="000000"/>
        </w:rPr>
        <w:t xml:space="preserve">compliance firms (using each firm as its own control) or the change at the time of the merger for the non-segment firms (in a difference-in-differences design).  </w:t>
      </w:r>
    </w:p>
    <w:p w:rsidR="0096335D" w:rsidRDefault="0079078D" w:rsidP="00844E32">
      <w:pPr>
        <w:spacing w:line="480" w:lineRule="auto"/>
        <w:ind w:firstLine="432"/>
        <w:jc w:val="both"/>
      </w:pPr>
      <w:r>
        <w:rPr>
          <w:color w:val="000000"/>
        </w:rPr>
        <w:t xml:space="preserve">As consolidation of global capital markets continues, our results suggest that investors will be advantaged by </w:t>
      </w:r>
      <w:r w:rsidR="003B6ABF">
        <w:rPr>
          <w:color w:val="000000"/>
        </w:rPr>
        <w:t xml:space="preserve">increased liquidity with </w:t>
      </w:r>
      <w:r>
        <w:rPr>
          <w:color w:val="000000"/>
        </w:rPr>
        <w:t>access to a more diverse investment opportunity set at low transaction cost, and particularly so if firms improve their transparency to appeal to the wider set of investors</w:t>
      </w:r>
      <w:r w:rsidR="00F31628">
        <w:rPr>
          <w:color w:val="000000"/>
        </w:rPr>
        <w:t xml:space="preserve">. </w:t>
      </w:r>
      <w:r w:rsidR="008E03BC">
        <w:rPr>
          <w:color w:val="000000"/>
        </w:rPr>
        <w:t>Euronext's establishment of an elite "club" to which members c</w:t>
      </w:r>
      <w:r w:rsidR="00F32544">
        <w:rPr>
          <w:color w:val="000000"/>
        </w:rPr>
        <w:t>ould</w:t>
      </w:r>
      <w:r w:rsidR="008E03BC">
        <w:rPr>
          <w:color w:val="000000"/>
        </w:rPr>
        <w:t xml:space="preserve"> belong if they credibly </w:t>
      </w:r>
      <w:proofErr w:type="spellStart"/>
      <w:r w:rsidR="008E03BC">
        <w:rPr>
          <w:color w:val="000000"/>
        </w:rPr>
        <w:t>pre</w:t>
      </w:r>
      <w:r w:rsidR="00F32544">
        <w:rPr>
          <w:color w:val="000000"/>
        </w:rPr>
        <w:t>commited</w:t>
      </w:r>
      <w:proofErr w:type="spellEnd"/>
      <w:r w:rsidR="00F32544">
        <w:rPr>
          <w:color w:val="000000"/>
        </w:rPr>
        <w:t xml:space="preserve"> </w:t>
      </w:r>
      <w:r w:rsidR="008E03BC">
        <w:rPr>
          <w:color w:val="000000"/>
        </w:rPr>
        <w:t>to enhanc</w:t>
      </w:r>
      <w:r w:rsidR="0094125A">
        <w:rPr>
          <w:color w:val="000000"/>
        </w:rPr>
        <w:t xml:space="preserve">ed financial reporting quality </w:t>
      </w:r>
      <w:r w:rsidR="008E03BC">
        <w:rPr>
          <w:color w:val="000000"/>
        </w:rPr>
        <w:t xml:space="preserve">and corporate governance was associated with improved </w:t>
      </w:r>
      <w:r w:rsidR="003B6ABF">
        <w:rPr>
          <w:color w:val="000000"/>
        </w:rPr>
        <w:t>liquidity and accounting quality</w:t>
      </w:r>
      <w:r w:rsidR="00F31628">
        <w:rPr>
          <w:color w:val="000000"/>
        </w:rPr>
        <w:t xml:space="preserve">. </w:t>
      </w:r>
      <w:r w:rsidR="008E03BC">
        <w:rPr>
          <w:color w:val="000000"/>
        </w:rPr>
        <w:t>This association suggest</w:t>
      </w:r>
      <w:r w:rsidR="00844E32">
        <w:rPr>
          <w:color w:val="000000"/>
        </w:rPr>
        <w:t>s</w:t>
      </w:r>
      <w:r w:rsidR="008E03BC">
        <w:rPr>
          <w:color w:val="000000"/>
        </w:rPr>
        <w:t xml:space="preserve"> that </w:t>
      </w:r>
      <w:r w:rsidR="00F32544">
        <w:rPr>
          <w:color w:val="000000"/>
        </w:rPr>
        <w:t xml:space="preserve">integrating the merged trading platforms to facilitate deeper pools of liquidity is feasible, and </w:t>
      </w:r>
      <w:r w:rsidR="003D678F">
        <w:rPr>
          <w:color w:val="000000"/>
        </w:rPr>
        <w:t xml:space="preserve">that </w:t>
      </w:r>
      <w:r w:rsidR="008E03BC">
        <w:rPr>
          <w:color w:val="000000"/>
        </w:rPr>
        <w:t xml:space="preserve">segmenting the merged exchange </w:t>
      </w:r>
      <w:r w:rsidR="00F32544">
        <w:rPr>
          <w:color w:val="000000"/>
        </w:rPr>
        <w:t>to allow</w:t>
      </w:r>
      <w:r w:rsidR="008E03BC">
        <w:rPr>
          <w:color w:val="000000"/>
        </w:rPr>
        <w:t xml:space="preserve"> </w:t>
      </w:r>
      <w:r w:rsidR="00F32544">
        <w:rPr>
          <w:color w:val="000000"/>
        </w:rPr>
        <w:t xml:space="preserve">firms to credibly bond to enhanced reporting quality and corporate governance </w:t>
      </w:r>
      <w:r w:rsidR="008E03BC">
        <w:rPr>
          <w:color w:val="000000"/>
        </w:rPr>
        <w:t xml:space="preserve">is a solution to the problem of regulating </w:t>
      </w:r>
      <w:r w:rsidR="00911ADD">
        <w:rPr>
          <w:color w:val="000000"/>
        </w:rPr>
        <w:t xml:space="preserve">global </w:t>
      </w:r>
      <w:r w:rsidR="008E03BC">
        <w:rPr>
          <w:color w:val="000000"/>
        </w:rPr>
        <w:t>capital markets that no longer belong to a single jurisdiction.</w:t>
      </w:r>
    </w:p>
    <w:p w:rsidR="0096335D" w:rsidRDefault="0096335D" w:rsidP="0096335D">
      <w:pPr>
        <w:spacing w:line="480" w:lineRule="auto"/>
        <w:ind w:firstLine="432"/>
        <w:jc w:val="center"/>
        <w:rPr>
          <w:color w:val="000000"/>
        </w:rPr>
        <w:sectPr w:rsidR="0096335D" w:rsidSect="00DF6562">
          <w:headerReference w:type="first" r:id="rId11"/>
          <w:footerReference w:type="first" r:id="rId12"/>
          <w:pgSz w:w="12240" w:h="15840"/>
          <w:pgMar w:top="1440" w:right="1080" w:bottom="1440" w:left="1080" w:header="720" w:footer="720" w:gutter="0"/>
          <w:pgNumType w:start="1"/>
          <w:cols w:space="720"/>
          <w:titlePg/>
          <w:docGrid w:linePitch="360"/>
        </w:sectPr>
      </w:pPr>
    </w:p>
    <w:p w:rsidR="00FC29A5" w:rsidRPr="00DD3FDE" w:rsidRDefault="00FC29A5" w:rsidP="00B02DFA">
      <w:pPr>
        <w:spacing w:line="480" w:lineRule="auto"/>
        <w:ind w:firstLine="432"/>
        <w:jc w:val="center"/>
        <w:outlineLvl w:val="0"/>
        <w:rPr>
          <w:color w:val="000000"/>
        </w:rPr>
      </w:pPr>
      <w:r w:rsidRPr="00EC4DD6">
        <w:rPr>
          <w:b/>
        </w:rPr>
        <w:lastRenderedPageBreak/>
        <w:t>References</w:t>
      </w:r>
    </w:p>
    <w:p w:rsidR="002C14E3" w:rsidRDefault="002C14E3" w:rsidP="00FC29A5">
      <w:pPr>
        <w:jc w:val="both"/>
      </w:pPr>
      <w:proofErr w:type="gramStart"/>
      <w:r>
        <w:t>Arnold, T</w:t>
      </w:r>
      <w:r w:rsidRPr="004B112E">
        <w:t xml:space="preserve">., </w:t>
      </w:r>
      <w:r>
        <w:t xml:space="preserve">P. </w:t>
      </w:r>
      <w:proofErr w:type="spellStart"/>
      <w:r>
        <w:t>Hersch</w:t>
      </w:r>
      <w:proofErr w:type="spellEnd"/>
      <w:r>
        <w:t xml:space="preserve">, J. </w:t>
      </w:r>
      <w:proofErr w:type="spellStart"/>
      <w:r>
        <w:t>Mulherin</w:t>
      </w:r>
      <w:proofErr w:type="spellEnd"/>
      <w:r>
        <w:t>, and J. Netter.</w:t>
      </w:r>
      <w:proofErr w:type="gramEnd"/>
      <w:r>
        <w:t xml:space="preserve"> 1999</w:t>
      </w:r>
      <w:r w:rsidRPr="004B112E">
        <w:t xml:space="preserve">. </w:t>
      </w:r>
      <w:proofErr w:type="spellStart"/>
      <w:r>
        <w:t>Merging</w:t>
      </w:r>
      <w:proofErr w:type="spellEnd"/>
      <w:r>
        <w:t xml:space="preserve"> Markets</w:t>
      </w:r>
      <w:r w:rsidRPr="004B112E">
        <w:t xml:space="preserve">. </w:t>
      </w:r>
      <w:r w:rsidRPr="004B112E">
        <w:rPr>
          <w:i/>
        </w:rPr>
        <w:t xml:space="preserve">Journal of </w:t>
      </w:r>
      <w:r>
        <w:rPr>
          <w:i/>
        </w:rPr>
        <w:t>Finance</w:t>
      </w:r>
      <w:r>
        <w:t xml:space="preserve"> 54: 1083–1107.</w:t>
      </w:r>
    </w:p>
    <w:p w:rsidR="002C14E3" w:rsidRDefault="002C14E3" w:rsidP="00FC29A5">
      <w:pPr>
        <w:jc w:val="both"/>
      </w:pPr>
    </w:p>
    <w:p w:rsidR="00FC29A5" w:rsidRDefault="00FC29A5" w:rsidP="00FC29A5">
      <w:pPr>
        <w:jc w:val="both"/>
      </w:pPr>
      <w:proofErr w:type="spellStart"/>
      <w:proofErr w:type="gramStart"/>
      <w:r w:rsidRPr="00D652C6">
        <w:t>Ashbaugh</w:t>
      </w:r>
      <w:proofErr w:type="spellEnd"/>
      <w:r w:rsidRPr="00D652C6">
        <w:t xml:space="preserve">, H., J. </w:t>
      </w:r>
      <w:proofErr w:type="spellStart"/>
      <w:r w:rsidRPr="00D652C6">
        <w:t>Gassen</w:t>
      </w:r>
      <w:proofErr w:type="spellEnd"/>
      <w:r w:rsidRPr="00D652C6">
        <w:t xml:space="preserve">, and R. </w:t>
      </w:r>
      <w:proofErr w:type="spellStart"/>
      <w:r w:rsidRPr="00D652C6">
        <w:t>LaFond</w:t>
      </w:r>
      <w:proofErr w:type="spellEnd"/>
      <w:r w:rsidRPr="00D652C6">
        <w:t>.</w:t>
      </w:r>
      <w:proofErr w:type="gramEnd"/>
      <w:r w:rsidRPr="00D652C6">
        <w:t xml:space="preserve"> 200</w:t>
      </w:r>
      <w:r w:rsidR="00D652C6" w:rsidRPr="00D652C6">
        <w:t>6</w:t>
      </w:r>
      <w:r w:rsidRPr="00D652C6">
        <w:t xml:space="preserve">. Does Stock Price Synchronicity Reflect Information or Noise? </w:t>
      </w:r>
      <w:proofErr w:type="gramStart"/>
      <w:r w:rsidRPr="00D652C6">
        <w:t>The International Evidence.</w:t>
      </w:r>
      <w:proofErr w:type="gramEnd"/>
      <w:r w:rsidRPr="00D652C6">
        <w:t xml:space="preserve"> Working Paper, </w:t>
      </w:r>
      <w:r w:rsidR="00FA44B6" w:rsidRPr="00D652C6">
        <w:t>University of Wisconsin-Madison</w:t>
      </w:r>
    </w:p>
    <w:p w:rsidR="00FC29A5" w:rsidRDefault="00FC29A5" w:rsidP="00FC29A5">
      <w:pPr>
        <w:jc w:val="both"/>
      </w:pPr>
    </w:p>
    <w:p w:rsidR="00DF1E69" w:rsidRDefault="00DF1E69" w:rsidP="00DF1E69">
      <w:pPr>
        <w:jc w:val="both"/>
      </w:pPr>
      <w:proofErr w:type="gramStart"/>
      <w:r>
        <w:t>Ball, R</w:t>
      </w:r>
      <w:r w:rsidRPr="004B112E">
        <w:t xml:space="preserve">., </w:t>
      </w:r>
      <w:r>
        <w:t>S. P. Kothari, and A. Robin.</w:t>
      </w:r>
      <w:proofErr w:type="gramEnd"/>
      <w:r>
        <w:t xml:space="preserve"> 2000</w:t>
      </w:r>
      <w:r w:rsidRPr="004B112E">
        <w:t xml:space="preserve">. </w:t>
      </w:r>
      <w:r>
        <w:t>The Effect of International Institutional Factors on Properties of Accounting Earnings</w:t>
      </w:r>
      <w:r w:rsidRPr="004B112E">
        <w:t xml:space="preserve">. </w:t>
      </w:r>
      <w:r w:rsidRPr="004B112E">
        <w:rPr>
          <w:i/>
        </w:rPr>
        <w:t xml:space="preserve">Journal of </w:t>
      </w:r>
      <w:r>
        <w:rPr>
          <w:i/>
        </w:rPr>
        <w:t>Accounting and Economics</w:t>
      </w:r>
      <w:r>
        <w:t xml:space="preserve"> 29: 1–51</w:t>
      </w:r>
    </w:p>
    <w:p w:rsidR="00DF1E69" w:rsidRDefault="00DF1E69" w:rsidP="00FC29A5">
      <w:pPr>
        <w:jc w:val="both"/>
      </w:pPr>
    </w:p>
    <w:p w:rsidR="00FC29A5" w:rsidRDefault="00FC29A5" w:rsidP="00FC29A5">
      <w:pPr>
        <w:jc w:val="both"/>
      </w:pPr>
      <w:proofErr w:type="gramStart"/>
      <w:r>
        <w:t>Ball, R</w:t>
      </w:r>
      <w:r w:rsidRPr="004B112E">
        <w:t xml:space="preserve">., </w:t>
      </w:r>
      <w:r w:rsidR="00DF1E69">
        <w:t xml:space="preserve">A. Robin, and J. </w:t>
      </w:r>
      <w:r>
        <w:t>S. Wu.</w:t>
      </w:r>
      <w:proofErr w:type="gramEnd"/>
      <w:r>
        <w:t xml:space="preserve"> 2003</w:t>
      </w:r>
      <w:r w:rsidRPr="004B112E">
        <w:t xml:space="preserve">. </w:t>
      </w:r>
      <w:r>
        <w:t>Incentives versus Standards: Properties of Accounting Income in Four East Asian Countries</w:t>
      </w:r>
      <w:r w:rsidRPr="004B112E">
        <w:t xml:space="preserve">. </w:t>
      </w:r>
      <w:r w:rsidRPr="004B112E">
        <w:rPr>
          <w:i/>
        </w:rPr>
        <w:t xml:space="preserve">Journal of </w:t>
      </w:r>
      <w:r>
        <w:rPr>
          <w:i/>
        </w:rPr>
        <w:t>Accounting and Economics</w:t>
      </w:r>
      <w:r w:rsidR="00FA44B6">
        <w:t xml:space="preserve"> 36: 235–270</w:t>
      </w:r>
    </w:p>
    <w:p w:rsidR="00DC2BE1" w:rsidRDefault="00DC2BE1" w:rsidP="00FC29A5">
      <w:pPr>
        <w:jc w:val="both"/>
      </w:pPr>
    </w:p>
    <w:p w:rsidR="00FC29A5" w:rsidRDefault="00FC29A5" w:rsidP="00FC29A5">
      <w:pPr>
        <w:jc w:val="both"/>
      </w:pPr>
      <w:proofErr w:type="gramStart"/>
      <w:r>
        <w:t>Barth, M</w:t>
      </w:r>
      <w:r w:rsidRPr="004B112E">
        <w:t xml:space="preserve">., </w:t>
      </w:r>
      <w:r>
        <w:t>W. Landsman, and M. Lang. 2007</w:t>
      </w:r>
      <w:r w:rsidRPr="004B112E">
        <w:t>.</w:t>
      </w:r>
      <w:proofErr w:type="gramEnd"/>
      <w:r w:rsidRPr="004B112E">
        <w:t xml:space="preserve"> </w:t>
      </w:r>
      <w:proofErr w:type="gramStart"/>
      <w:r>
        <w:t>International Accounting Standards and Accounting Quality</w:t>
      </w:r>
      <w:r w:rsidRPr="004B112E">
        <w:t>.</w:t>
      </w:r>
      <w:proofErr w:type="gramEnd"/>
      <w:r w:rsidRPr="004B112E">
        <w:t xml:space="preserve"> </w:t>
      </w:r>
      <w:r w:rsidRPr="004B112E">
        <w:rPr>
          <w:i/>
        </w:rPr>
        <w:t xml:space="preserve">Journal of </w:t>
      </w:r>
      <w:r>
        <w:rPr>
          <w:i/>
        </w:rPr>
        <w:t>Accounting Research</w:t>
      </w:r>
      <w:r>
        <w:t xml:space="preserve"> 46: 467</w:t>
      </w:r>
      <w:r w:rsidR="00FA44B6">
        <w:t>–</w:t>
      </w:r>
      <w:r>
        <w:t>498</w:t>
      </w:r>
    </w:p>
    <w:p w:rsidR="00FC29A5" w:rsidRPr="006F2125" w:rsidRDefault="00FC29A5" w:rsidP="00FC29A5">
      <w:pPr>
        <w:autoSpaceDE w:val="0"/>
        <w:autoSpaceDN w:val="0"/>
        <w:adjustRightInd w:val="0"/>
        <w:jc w:val="both"/>
        <w:rPr>
          <w:bCs/>
        </w:rPr>
      </w:pPr>
    </w:p>
    <w:p w:rsidR="009E314B" w:rsidRDefault="009E314B" w:rsidP="009E314B">
      <w:pPr>
        <w:jc w:val="both"/>
      </w:pPr>
      <w:proofErr w:type="spellStart"/>
      <w:r>
        <w:t>Basu</w:t>
      </w:r>
      <w:proofErr w:type="spellEnd"/>
      <w:r>
        <w:t>, S. 1997</w:t>
      </w:r>
      <w:r w:rsidRPr="004B112E">
        <w:t xml:space="preserve">. </w:t>
      </w:r>
      <w:proofErr w:type="gramStart"/>
      <w:r>
        <w:t>The Conservatism Principle and the Asymmetric Timeliness of Earnings</w:t>
      </w:r>
      <w:r w:rsidRPr="004B112E">
        <w:t>.</w:t>
      </w:r>
      <w:proofErr w:type="gramEnd"/>
      <w:r w:rsidRPr="004B112E">
        <w:t xml:space="preserve"> </w:t>
      </w:r>
      <w:r w:rsidRPr="004B112E">
        <w:rPr>
          <w:i/>
        </w:rPr>
        <w:t xml:space="preserve">Journal of </w:t>
      </w:r>
      <w:r>
        <w:rPr>
          <w:i/>
        </w:rPr>
        <w:t>Accounting and Economics</w:t>
      </w:r>
      <w:r>
        <w:t xml:space="preserve"> 24: 3–37</w:t>
      </w:r>
    </w:p>
    <w:p w:rsidR="009E314B" w:rsidRDefault="009E314B" w:rsidP="00FC29A5">
      <w:pPr>
        <w:autoSpaceDE w:val="0"/>
        <w:autoSpaceDN w:val="0"/>
        <w:adjustRightInd w:val="0"/>
        <w:jc w:val="both"/>
        <w:rPr>
          <w:bCs/>
        </w:rPr>
      </w:pPr>
    </w:p>
    <w:p w:rsidR="003F035C" w:rsidRDefault="003F035C" w:rsidP="00FC29A5">
      <w:pPr>
        <w:autoSpaceDE w:val="0"/>
        <w:autoSpaceDN w:val="0"/>
        <w:adjustRightInd w:val="0"/>
        <w:jc w:val="both"/>
        <w:rPr>
          <w:bCs/>
        </w:rPr>
      </w:pPr>
      <w:proofErr w:type="gramStart"/>
      <w:r>
        <w:rPr>
          <w:bCs/>
        </w:rPr>
        <w:t>Bradshaw, M. and G. Miller.</w:t>
      </w:r>
      <w:proofErr w:type="gramEnd"/>
      <w:r>
        <w:rPr>
          <w:bCs/>
        </w:rPr>
        <w:t xml:space="preserve"> 2008. Will Harmonizing Accounting Standards Really Harmonize Accounting? </w:t>
      </w:r>
      <w:proofErr w:type="gramStart"/>
      <w:r>
        <w:rPr>
          <w:bCs/>
        </w:rPr>
        <w:t>Evidence from Non-U.S. Firms Adopting U.S. GAAP.</w:t>
      </w:r>
      <w:proofErr w:type="gramEnd"/>
      <w:r>
        <w:rPr>
          <w:bCs/>
        </w:rPr>
        <w:t xml:space="preserve">  </w:t>
      </w:r>
      <w:r>
        <w:rPr>
          <w:bCs/>
          <w:i/>
        </w:rPr>
        <w:t xml:space="preserve">Journal of Accounting, Auditing and Finance </w:t>
      </w:r>
      <w:r>
        <w:rPr>
          <w:bCs/>
        </w:rPr>
        <w:t>23:  233</w:t>
      </w:r>
      <w:r w:rsidR="00BC739F">
        <w:rPr>
          <w:bCs/>
        </w:rPr>
        <w:t>–</w:t>
      </w:r>
      <w:r>
        <w:rPr>
          <w:bCs/>
        </w:rPr>
        <w:t>263</w:t>
      </w:r>
      <w:r w:rsidR="00BC739F">
        <w:rPr>
          <w:bCs/>
        </w:rPr>
        <w:t xml:space="preserve"> </w:t>
      </w:r>
    </w:p>
    <w:p w:rsidR="00CB38B4" w:rsidRDefault="00CB38B4" w:rsidP="00CB38B4">
      <w:pPr>
        <w:autoSpaceDE w:val="0"/>
        <w:autoSpaceDN w:val="0"/>
        <w:adjustRightInd w:val="0"/>
        <w:rPr>
          <w:rFonts w:eastAsiaTheme="minorHAnsi"/>
        </w:rPr>
      </w:pPr>
    </w:p>
    <w:p w:rsidR="00CB38B4" w:rsidRDefault="00CB38B4" w:rsidP="00B02DFA">
      <w:pPr>
        <w:autoSpaceDE w:val="0"/>
        <w:autoSpaceDN w:val="0"/>
        <w:adjustRightInd w:val="0"/>
        <w:outlineLvl w:val="0"/>
        <w:rPr>
          <w:rFonts w:eastAsiaTheme="minorHAnsi"/>
        </w:rPr>
      </w:pPr>
      <w:proofErr w:type="spellStart"/>
      <w:proofErr w:type="gramStart"/>
      <w:r>
        <w:rPr>
          <w:rFonts w:eastAsiaTheme="minorHAnsi"/>
        </w:rPr>
        <w:t>Burgstahler</w:t>
      </w:r>
      <w:proofErr w:type="spellEnd"/>
      <w:r>
        <w:rPr>
          <w:rFonts w:eastAsiaTheme="minorHAnsi"/>
        </w:rPr>
        <w:t xml:space="preserve">, D., L. Hail, and C. </w:t>
      </w:r>
      <w:proofErr w:type="spellStart"/>
      <w:r>
        <w:rPr>
          <w:rFonts w:eastAsiaTheme="minorHAnsi"/>
        </w:rPr>
        <w:t>Leuz</w:t>
      </w:r>
      <w:proofErr w:type="spellEnd"/>
      <w:r>
        <w:rPr>
          <w:rFonts w:eastAsiaTheme="minorHAnsi"/>
        </w:rPr>
        <w:t>.</w:t>
      </w:r>
      <w:proofErr w:type="gramEnd"/>
      <w:r>
        <w:rPr>
          <w:rFonts w:eastAsiaTheme="minorHAnsi"/>
        </w:rPr>
        <w:t xml:space="preserve"> 2006. The Importance of Reporting Incentives: Earnings</w:t>
      </w:r>
    </w:p>
    <w:p w:rsidR="00CB38B4" w:rsidRPr="00496E0C" w:rsidRDefault="00CB38B4" w:rsidP="00CB38B4">
      <w:pPr>
        <w:autoSpaceDE w:val="0"/>
        <w:autoSpaceDN w:val="0"/>
        <w:adjustRightInd w:val="0"/>
        <w:jc w:val="both"/>
        <w:rPr>
          <w:color w:val="000000"/>
        </w:rPr>
      </w:pPr>
      <w:proofErr w:type="gramStart"/>
      <w:r>
        <w:rPr>
          <w:rFonts w:eastAsiaTheme="minorHAnsi"/>
        </w:rPr>
        <w:t>Management in European Private and Public Firms.</w:t>
      </w:r>
      <w:proofErr w:type="gramEnd"/>
      <w:r>
        <w:rPr>
          <w:rFonts w:eastAsiaTheme="minorHAnsi"/>
        </w:rPr>
        <w:t xml:space="preserve"> </w:t>
      </w:r>
      <w:r w:rsidRPr="0015411B">
        <w:rPr>
          <w:bCs/>
          <w:i/>
        </w:rPr>
        <w:t>The Accounting Review</w:t>
      </w:r>
      <w:r>
        <w:rPr>
          <w:rFonts w:ascii="TimesNewRomanPS-ItalicMT" w:eastAsiaTheme="minorHAnsi" w:hAnsi="TimesNewRomanPS-ItalicMT" w:cs="TimesNewRomanPS-ItalicMT"/>
          <w:i/>
          <w:iCs/>
        </w:rPr>
        <w:t xml:space="preserve"> </w:t>
      </w:r>
      <w:r>
        <w:rPr>
          <w:rFonts w:eastAsiaTheme="minorHAnsi"/>
        </w:rPr>
        <w:t>81: 983–1017</w:t>
      </w:r>
    </w:p>
    <w:p w:rsidR="003F035C" w:rsidRPr="003F035C" w:rsidRDefault="003F035C" w:rsidP="00FC29A5">
      <w:pPr>
        <w:autoSpaceDE w:val="0"/>
        <w:autoSpaceDN w:val="0"/>
        <w:adjustRightInd w:val="0"/>
        <w:jc w:val="both"/>
        <w:rPr>
          <w:bCs/>
        </w:rPr>
      </w:pPr>
    </w:p>
    <w:p w:rsidR="00C534A9" w:rsidRDefault="00C534A9" w:rsidP="00FC29A5">
      <w:pPr>
        <w:jc w:val="both"/>
      </w:pPr>
      <w:proofErr w:type="gramStart"/>
      <w:r>
        <w:t xml:space="preserve">Christensen, H., L. Hail, and C. </w:t>
      </w:r>
      <w:proofErr w:type="spellStart"/>
      <w:r>
        <w:t>Leuz</w:t>
      </w:r>
      <w:proofErr w:type="spellEnd"/>
      <w:r>
        <w:t>.</w:t>
      </w:r>
      <w:proofErr w:type="gramEnd"/>
      <w:r>
        <w:t xml:space="preserve">  2011.  Capital-Market Effects of Securities Regulation:  The Role of Implementation and Enforcement.  NBER Working Paper No. 16737.</w:t>
      </w:r>
    </w:p>
    <w:p w:rsidR="00C534A9" w:rsidRDefault="00C534A9" w:rsidP="00FC29A5">
      <w:pPr>
        <w:jc w:val="both"/>
      </w:pPr>
    </w:p>
    <w:p w:rsidR="002C00E3" w:rsidRDefault="002C00E3" w:rsidP="00FC29A5">
      <w:pPr>
        <w:jc w:val="both"/>
        <w:rPr>
          <w:color w:val="000000"/>
        </w:rPr>
      </w:pPr>
      <w:proofErr w:type="gramStart"/>
      <w:r w:rsidRPr="002E1D3B">
        <w:rPr>
          <w:color w:val="000000"/>
        </w:rPr>
        <w:t>Central Banking Publications Ltd. 2008.</w:t>
      </w:r>
      <w:proofErr w:type="gramEnd"/>
      <w:r w:rsidRPr="002E1D3B">
        <w:rPr>
          <w:color w:val="000000"/>
        </w:rPr>
        <w:t xml:space="preserve"> How Countries Supervise their Banks, Insurers, and Securities Markets. London</w:t>
      </w:r>
      <w:r>
        <w:rPr>
          <w:color w:val="000000"/>
        </w:rPr>
        <w:t>.</w:t>
      </w:r>
    </w:p>
    <w:p w:rsidR="002C00E3" w:rsidRDefault="002C00E3" w:rsidP="00FC29A5">
      <w:pPr>
        <w:jc w:val="both"/>
      </w:pPr>
    </w:p>
    <w:p w:rsidR="00FC29A5" w:rsidRDefault="00FC29A5" w:rsidP="00FC29A5">
      <w:pPr>
        <w:jc w:val="both"/>
      </w:pPr>
      <w:proofErr w:type="spellStart"/>
      <w:proofErr w:type="gramStart"/>
      <w:r w:rsidRPr="00E00268">
        <w:t>Daske</w:t>
      </w:r>
      <w:proofErr w:type="spellEnd"/>
      <w:r w:rsidRPr="00E00268">
        <w:t xml:space="preserve">, H., L. Hail, C. </w:t>
      </w:r>
      <w:proofErr w:type="spellStart"/>
      <w:r w:rsidRPr="00E00268">
        <w:t>Leuz</w:t>
      </w:r>
      <w:proofErr w:type="spellEnd"/>
      <w:r w:rsidRPr="00E00268">
        <w:t>, and R. Verdi.</w:t>
      </w:r>
      <w:proofErr w:type="gramEnd"/>
      <w:r w:rsidRPr="00E00268">
        <w:t xml:space="preserve"> </w:t>
      </w:r>
      <w:r w:rsidR="00AB27B6" w:rsidRPr="00E00268">
        <w:t>20</w:t>
      </w:r>
      <w:r w:rsidR="00AB27B6">
        <w:t>13</w:t>
      </w:r>
      <w:r w:rsidRPr="00E00268">
        <w:t xml:space="preserve">. </w:t>
      </w:r>
      <w:r w:rsidR="00AB27B6">
        <w:rPr>
          <w:color w:val="000000"/>
          <w:sz w:val="27"/>
          <w:szCs w:val="27"/>
        </w:rPr>
        <w:t xml:space="preserve">Adopting a Label: Heterogeneity in the Economic Consequences </w:t>
      </w:r>
      <w:proofErr w:type="gramStart"/>
      <w:r w:rsidR="00AB27B6">
        <w:rPr>
          <w:color w:val="000000"/>
          <w:sz w:val="27"/>
          <w:szCs w:val="27"/>
        </w:rPr>
        <w:t>Around</w:t>
      </w:r>
      <w:proofErr w:type="gramEnd"/>
      <w:r w:rsidR="00AB27B6">
        <w:rPr>
          <w:color w:val="000000"/>
          <w:sz w:val="27"/>
          <w:szCs w:val="27"/>
        </w:rPr>
        <w:t xml:space="preserve"> IAS/IFRS Adoptions. </w:t>
      </w:r>
      <w:r w:rsidRPr="00E00268">
        <w:t>. Working Paper, University of Chicago</w:t>
      </w:r>
    </w:p>
    <w:p w:rsidR="00FC29A5" w:rsidRDefault="00FC29A5" w:rsidP="00FC29A5">
      <w:pPr>
        <w:jc w:val="both"/>
      </w:pPr>
    </w:p>
    <w:p w:rsidR="00B72E58" w:rsidRDefault="00B72E58" w:rsidP="00FC29A5">
      <w:pPr>
        <w:autoSpaceDE w:val="0"/>
        <w:autoSpaceDN w:val="0"/>
        <w:adjustRightInd w:val="0"/>
        <w:jc w:val="both"/>
      </w:pPr>
      <w:proofErr w:type="spellStart"/>
      <w:proofErr w:type="gramStart"/>
      <w:r>
        <w:t>Dichev</w:t>
      </w:r>
      <w:proofErr w:type="spellEnd"/>
      <w:r w:rsidR="00D154F5">
        <w:t xml:space="preserve">, I., </w:t>
      </w:r>
      <w:r>
        <w:t xml:space="preserve">and </w:t>
      </w:r>
      <w:r w:rsidR="00D154F5">
        <w:t xml:space="preserve">V. </w:t>
      </w:r>
      <w:r>
        <w:t>Tang.</w:t>
      </w:r>
      <w:proofErr w:type="gramEnd"/>
      <w:r>
        <w:t xml:space="preserve">  2009</w:t>
      </w:r>
      <w:r w:rsidR="00D154F5">
        <w:t xml:space="preserve">. Earnings Volatility and Earnings Predictability. </w:t>
      </w:r>
      <w:r w:rsidR="00D154F5" w:rsidRPr="001C15A2">
        <w:rPr>
          <w:i/>
        </w:rPr>
        <w:t>Journal of Accounting and Economics</w:t>
      </w:r>
      <w:r w:rsidR="00D154F5">
        <w:t xml:space="preserve"> 47 (1-2): </w:t>
      </w:r>
      <w:r w:rsidR="001C15A2">
        <w:t xml:space="preserve">160–181 </w:t>
      </w:r>
    </w:p>
    <w:p w:rsidR="00B72E58" w:rsidRDefault="00B72E58" w:rsidP="00FC29A5">
      <w:pPr>
        <w:autoSpaceDE w:val="0"/>
        <w:autoSpaceDN w:val="0"/>
        <w:adjustRightInd w:val="0"/>
        <w:jc w:val="both"/>
      </w:pPr>
    </w:p>
    <w:p w:rsidR="00B3126F" w:rsidRDefault="00B3126F" w:rsidP="00FC29A5">
      <w:pPr>
        <w:autoSpaceDE w:val="0"/>
        <w:autoSpaceDN w:val="0"/>
        <w:adjustRightInd w:val="0"/>
        <w:jc w:val="both"/>
      </w:pPr>
      <w:proofErr w:type="gramStart"/>
      <w:r>
        <w:t>European Commission (2011).</w:t>
      </w:r>
      <w:proofErr w:type="gramEnd"/>
      <w:r>
        <w:t xml:space="preserve">  Press Release IP/11/1238, October 25, 2011.  </w:t>
      </w:r>
      <w:proofErr w:type="gramStart"/>
      <w:r>
        <w:t>Available at http//europa.eu/rapid/pressReleasesAction.do?</w:t>
      </w:r>
      <w:proofErr w:type="gramEnd"/>
      <w:r>
        <w:t xml:space="preserve"> </w:t>
      </w:r>
      <w:proofErr w:type="gramStart"/>
      <w:r>
        <w:t>reference=</w:t>
      </w:r>
      <w:proofErr w:type="gramEnd"/>
      <w:r>
        <w:t>IP/11/1238&amp;format=HTML&amp;aged=0&amp;language=EN&amp;guilanguage=en.</w:t>
      </w:r>
    </w:p>
    <w:p w:rsidR="00B3126F" w:rsidRDefault="00B3126F" w:rsidP="00FC29A5">
      <w:pPr>
        <w:autoSpaceDE w:val="0"/>
        <w:autoSpaceDN w:val="0"/>
        <w:adjustRightInd w:val="0"/>
        <w:jc w:val="both"/>
      </w:pPr>
    </w:p>
    <w:p w:rsidR="007A6CE1" w:rsidRDefault="007A6CE1" w:rsidP="00FC29A5">
      <w:pPr>
        <w:jc w:val="both"/>
      </w:pPr>
      <w:proofErr w:type="gramStart"/>
      <w:r>
        <w:lastRenderedPageBreak/>
        <w:t xml:space="preserve">Frost, C, E. Gordon, and G. </w:t>
      </w:r>
      <w:proofErr w:type="spellStart"/>
      <w:r>
        <w:t>Pownall</w:t>
      </w:r>
      <w:proofErr w:type="spellEnd"/>
      <w:r>
        <w:t>.</w:t>
      </w:r>
      <w:proofErr w:type="gramEnd"/>
      <w:r>
        <w:t xml:space="preserve">  2010.  Financial Reporting and Disclosure Quality, and Emerging Market Companies' Access to Capital in Global Markets.  Working Paper</w:t>
      </w:r>
    </w:p>
    <w:p w:rsidR="007A6CE1" w:rsidRDefault="007A6CE1" w:rsidP="00FC29A5">
      <w:pPr>
        <w:jc w:val="both"/>
      </w:pPr>
    </w:p>
    <w:p w:rsidR="00FC29A5" w:rsidRDefault="00FC29A5" w:rsidP="00FC29A5">
      <w:pPr>
        <w:jc w:val="both"/>
      </w:pPr>
      <w:proofErr w:type="spellStart"/>
      <w:r>
        <w:t>Grundfest</w:t>
      </w:r>
      <w:proofErr w:type="spellEnd"/>
      <w:r>
        <w:t>, J.</w:t>
      </w:r>
      <w:r w:rsidR="004659F1">
        <w:t xml:space="preserve"> 1990</w:t>
      </w:r>
      <w:r w:rsidR="00F31628">
        <w:t xml:space="preserve">. </w:t>
      </w:r>
      <w:r w:rsidR="004659F1">
        <w:t>Internationalization of the World's Securities Markets:  Economic Causes and Regulatory Consequences</w:t>
      </w:r>
      <w:r w:rsidR="00F31628">
        <w:t xml:space="preserve">. </w:t>
      </w:r>
      <w:r w:rsidR="004659F1">
        <w:rPr>
          <w:i/>
        </w:rPr>
        <w:t>Journal of Financial Services Research</w:t>
      </w:r>
      <w:r w:rsidR="004659F1">
        <w:t xml:space="preserve"> 4: 349</w:t>
      </w:r>
      <w:r w:rsidR="00FA44B6">
        <w:t>–</w:t>
      </w:r>
      <w:r w:rsidR="004659F1">
        <w:t>378</w:t>
      </w:r>
    </w:p>
    <w:p w:rsidR="00670D05" w:rsidRDefault="00670D05" w:rsidP="00FC29A5">
      <w:pPr>
        <w:jc w:val="both"/>
      </w:pPr>
    </w:p>
    <w:p w:rsidR="00670D05" w:rsidRDefault="00670D05" w:rsidP="00670D05">
      <w:pPr>
        <w:jc w:val="both"/>
      </w:pPr>
      <w:proofErr w:type="spellStart"/>
      <w:proofErr w:type="gramStart"/>
      <w:r w:rsidRPr="00D4314F">
        <w:t>Guo</w:t>
      </w:r>
      <w:proofErr w:type="spellEnd"/>
      <w:r w:rsidRPr="00D4314F">
        <w:t>, S., and M. Fraser.</w:t>
      </w:r>
      <w:proofErr w:type="gramEnd"/>
      <w:r w:rsidRPr="00D4314F">
        <w:t xml:space="preserve"> </w:t>
      </w:r>
      <w:proofErr w:type="gramStart"/>
      <w:r w:rsidRPr="00D4314F">
        <w:t>Propensity Score Analysis.</w:t>
      </w:r>
      <w:proofErr w:type="gramEnd"/>
      <w:r w:rsidRPr="00D4314F">
        <w:t xml:space="preserve"> </w:t>
      </w:r>
      <w:proofErr w:type="gramStart"/>
      <w:r w:rsidRPr="00D4314F">
        <w:t>Statist</w:t>
      </w:r>
      <w:r>
        <w:t>i</w:t>
      </w:r>
      <w:r w:rsidRPr="00D4314F">
        <w:t>cal Methods and Application.</w:t>
      </w:r>
      <w:proofErr w:type="gramEnd"/>
      <w:r w:rsidRPr="00D4314F">
        <w:t xml:space="preserve"> SAGE Publications Inc., </w:t>
      </w:r>
      <w:r>
        <w:t>2010</w:t>
      </w:r>
      <w:r w:rsidRPr="00D4314F">
        <w:t>.</w:t>
      </w:r>
    </w:p>
    <w:p w:rsidR="00FC29A5" w:rsidRDefault="00FC29A5" w:rsidP="00FC29A5">
      <w:pPr>
        <w:jc w:val="both"/>
      </w:pPr>
    </w:p>
    <w:p w:rsidR="00AE3343" w:rsidRDefault="00AE3343" w:rsidP="00AE3343">
      <w:pPr>
        <w:autoSpaceDE w:val="0"/>
        <w:autoSpaceDN w:val="0"/>
        <w:adjustRightInd w:val="0"/>
        <w:jc w:val="both"/>
      </w:pPr>
      <w:proofErr w:type="gramStart"/>
      <w:r>
        <w:t>Jackson, H., and M. Roe.</w:t>
      </w:r>
      <w:proofErr w:type="gramEnd"/>
      <w:r>
        <w:t xml:space="preserve"> 2009. </w:t>
      </w:r>
      <w:r w:rsidRPr="00AE3343">
        <w:t>P</w:t>
      </w:r>
      <w:r>
        <w:t xml:space="preserve">ublic and Private Enforcement of Securities Laws: Resource-Based Evidence. </w:t>
      </w:r>
      <w:r w:rsidRPr="00D652C6">
        <w:rPr>
          <w:i/>
        </w:rPr>
        <w:t>Journal of Financial Economics</w:t>
      </w:r>
      <w:r>
        <w:t xml:space="preserve"> 93(2): </w:t>
      </w:r>
      <w:r w:rsidRPr="00AE3343">
        <w:t>207</w:t>
      </w:r>
      <w:r w:rsidR="00097C93">
        <w:t>–</w:t>
      </w:r>
      <w:r w:rsidRPr="00AE3343">
        <w:t>238</w:t>
      </w:r>
      <w:r w:rsidR="00097C93">
        <w:t xml:space="preserve"> </w:t>
      </w:r>
    </w:p>
    <w:p w:rsidR="00AE3343" w:rsidRDefault="00AE3343" w:rsidP="00AE3343">
      <w:pPr>
        <w:autoSpaceDE w:val="0"/>
        <w:autoSpaceDN w:val="0"/>
        <w:adjustRightInd w:val="0"/>
      </w:pPr>
    </w:p>
    <w:p w:rsidR="00062EDC" w:rsidRDefault="00062EDC" w:rsidP="00FC29A5">
      <w:pPr>
        <w:jc w:val="both"/>
        <w:rPr>
          <w:sz w:val="22"/>
          <w:szCs w:val="22"/>
        </w:rPr>
      </w:pPr>
      <w:proofErr w:type="gramStart"/>
      <w:r>
        <w:t>Karolyi, A.</w:t>
      </w:r>
      <w:proofErr w:type="gramEnd"/>
      <w:r>
        <w:t xml:space="preserve">  2012.  </w:t>
      </w:r>
      <w:r>
        <w:rPr>
          <w:sz w:val="22"/>
          <w:szCs w:val="22"/>
        </w:rPr>
        <w:t xml:space="preserve">Corporate Governance, Agency Problems and International Cross-Listings: A Defense of the Bonding Hypothesis. </w:t>
      </w:r>
      <w:r w:rsidRPr="00062EDC">
        <w:rPr>
          <w:i/>
          <w:sz w:val="22"/>
          <w:szCs w:val="22"/>
        </w:rPr>
        <w:t>Emerging Markets Review</w:t>
      </w:r>
      <w:r>
        <w:rPr>
          <w:sz w:val="22"/>
          <w:szCs w:val="22"/>
        </w:rPr>
        <w:t xml:space="preserve"> 13(4): 516-547. </w:t>
      </w:r>
    </w:p>
    <w:p w:rsidR="00062EDC" w:rsidRDefault="00062EDC" w:rsidP="00FC29A5">
      <w:pPr>
        <w:jc w:val="both"/>
      </w:pPr>
    </w:p>
    <w:p w:rsidR="00495FC7" w:rsidRDefault="00495FC7" w:rsidP="00FC29A5">
      <w:pPr>
        <w:jc w:val="both"/>
      </w:pPr>
      <w:proofErr w:type="gramStart"/>
      <w:r>
        <w:t xml:space="preserve">Lang, M., J. </w:t>
      </w:r>
      <w:proofErr w:type="spellStart"/>
      <w:r>
        <w:t>Raedy</w:t>
      </w:r>
      <w:proofErr w:type="spellEnd"/>
      <w:r>
        <w:t xml:space="preserve">, and M. </w:t>
      </w:r>
      <w:proofErr w:type="spellStart"/>
      <w:r>
        <w:t>Yetman</w:t>
      </w:r>
      <w:proofErr w:type="spellEnd"/>
      <w:r w:rsidR="00F31628">
        <w:t>.</w:t>
      </w:r>
      <w:proofErr w:type="gramEnd"/>
      <w:r w:rsidR="00F31628">
        <w:t xml:space="preserve"> </w:t>
      </w:r>
      <w:r>
        <w:t>2003</w:t>
      </w:r>
      <w:r w:rsidR="00F31628">
        <w:t xml:space="preserve">. </w:t>
      </w:r>
      <w:r>
        <w:t xml:space="preserve">How Representative Are Firms That Are Cross-Listed in the United States?  </w:t>
      </w:r>
      <w:proofErr w:type="gramStart"/>
      <w:r>
        <w:t>An Analysis of Accounting Quality</w:t>
      </w:r>
      <w:r w:rsidR="00F31628">
        <w:t>.</w:t>
      </w:r>
      <w:proofErr w:type="gramEnd"/>
      <w:r w:rsidR="00F31628">
        <w:t xml:space="preserve"> </w:t>
      </w:r>
      <w:r>
        <w:rPr>
          <w:i/>
        </w:rPr>
        <w:t>Journal of Accounting Research</w:t>
      </w:r>
      <w:r w:rsidR="00FA44B6">
        <w:t xml:space="preserve"> 41 No. 2: </w:t>
      </w:r>
      <w:r>
        <w:t>363</w:t>
      </w:r>
      <w:r w:rsidR="00FA44B6">
        <w:t>–</w:t>
      </w:r>
      <w:r>
        <w:t>386</w:t>
      </w:r>
    </w:p>
    <w:p w:rsidR="002F1CF8" w:rsidRDefault="002F1CF8" w:rsidP="00FC29A5">
      <w:pPr>
        <w:jc w:val="both"/>
      </w:pPr>
    </w:p>
    <w:p w:rsidR="00FC29A5" w:rsidRDefault="00FC29A5" w:rsidP="00FC29A5">
      <w:pPr>
        <w:jc w:val="both"/>
      </w:pPr>
      <w:proofErr w:type="gramStart"/>
      <w:r>
        <w:t>Lang, M</w:t>
      </w:r>
      <w:r w:rsidRPr="004B112E">
        <w:t xml:space="preserve">., </w:t>
      </w:r>
      <w:r>
        <w:t xml:space="preserve">J. </w:t>
      </w:r>
      <w:proofErr w:type="spellStart"/>
      <w:r>
        <w:t>Raedy</w:t>
      </w:r>
      <w:proofErr w:type="spellEnd"/>
      <w:r>
        <w:t>, and W</w:t>
      </w:r>
      <w:r w:rsidRPr="004B112E">
        <w:t>.</w:t>
      </w:r>
      <w:r>
        <w:t xml:space="preserve"> Wilson.</w:t>
      </w:r>
      <w:proofErr w:type="gramEnd"/>
      <w:r>
        <w:t xml:space="preserve"> 2006</w:t>
      </w:r>
      <w:r w:rsidRPr="004B112E">
        <w:t xml:space="preserve">. </w:t>
      </w:r>
      <w:r>
        <w:t>Earnings Management and Cross Listing: Are Reconciled Earnings Comparable to US Earnings</w:t>
      </w:r>
      <w:r w:rsidRPr="004B112E">
        <w:t xml:space="preserve">. </w:t>
      </w:r>
      <w:r>
        <w:rPr>
          <w:i/>
        </w:rPr>
        <w:t>Journal of Accounting and Economics</w:t>
      </w:r>
      <w:r>
        <w:t xml:space="preserve"> 42: 255</w:t>
      </w:r>
      <w:r w:rsidR="00FA44B6">
        <w:t>–</w:t>
      </w:r>
      <w:r>
        <w:t>283</w:t>
      </w:r>
    </w:p>
    <w:p w:rsidR="00FC29A5" w:rsidRDefault="00FC29A5" w:rsidP="00FC29A5">
      <w:pPr>
        <w:jc w:val="both"/>
      </w:pPr>
    </w:p>
    <w:p w:rsidR="003B6F83" w:rsidRPr="002F1CF8" w:rsidRDefault="003B6F83" w:rsidP="00FC29A5">
      <w:pPr>
        <w:jc w:val="both"/>
      </w:pPr>
      <w:proofErr w:type="spellStart"/>
      <w:r w:rsidRPr="00D652C6">
        <w:t>Leuz</w:t>
      </w:r>
      <w:proofErr w:type="spellEnd"/>
      <w:r w:rsidRPr="00D652C6">
        <w:t xml:space="preserve">, C. 2010.  Different Approaches to Corporate Reporting Regulation:  How Jurisdictions Differ and Why.  </w:t>
      </w:r>
      <w:r w:rsidR="002F1CF8" w:rsidRPr="00D652C6">
        <w:rPr>
          <w:i/>
        </w:rPr>
        <w:t>Accounting and Business Research</w:t>
      </w:r>
      <w:r w:rsidR="00D652C6" w:rsidRPr="00D652C6">
        <w:rPr>
          <w:i/>
        </w:rPr>
        <w:t xml:space="preserve"> </w:t>
      </w:r>
      <w:r w:rsidR="00D652C6" w:rsidRPr="00D652C6">
        <w:t>40 (3): 229–256</w:t>
      </w:r>
      <w:r w:rsidR="00D652C6">
        <w:rPr>
          <w:i/>
        </w:rPr>
        <w:t xml:space="preserve"> </w:t>
      </w:r>
    </w:p>
    <w:p w:rsidR="00FC29A5" w:rsidRDefault="00FC29A5" w:rsidP="00FC29A5">
      <w:pPr>
        <w:jc w:val="both"/>
      </w:pPr>
    </w:p>
    <w:p w:rsidR="00FC29A5" w:rsidRDefault="00FC29A5" w:rsidP="00FC29A5">
      <w:pPr>
        <w:jc w:val="both"/>
      </w:pPr>
      <w:proofErr w:type="spellStart"/>
      <w:proofErr w:type="gramStart"/>
      <w:r>
        <w:t>Leuz</w:t>
      </w:r>
      <w:proofErr w:type="spellEnd"/>
      <w:r>
        <w:t>, C</w:t>
      </w:r>
      <w:r w:rsidRPr="004B112E">
        <w:t xml:space="preserve">., </w:t>
      </w:r>
      <w:r>
        <w:t>D. Nanda, and P</w:t>
      </w:r>
      <w:r w:rsidRPr="004B112E">
        <w:t>.</w:t>
      </w:r>
      <w:r>
        <w:t xml:space="preserve"> D. </w:t>
      </w:r>
      <w:proofErr w:type="spellStart"/>
      <w:r>
        <w:t>Wysocki</w:t>
      </w:r>
      <w:proofErr w:type="spellEnd"/>
      <w:r>
        <w:t>.</w:t>
      </w:r>
      <w:proofErr w:type="gramEnd"/>
      <w:r>
        <w:t xml:space="preserve"> 2003</w:t>
      </w:r>
      <w:r w:rsidRPr="004B112E">
        <w:t xml:space="preserve">. </w:t>
      </w:r>
      <w:r>
        <w:t>Earnings Management and Investor Protection: An International Comparison</w:t>
      </w:r>
      <w:r w:rsidRPr="004B112E">
        <w:t xml:space="preserve">. </w:t>
      </w:r>
      <w:r w:rsidRPr="004B112E">
        <w:rPr>
          <w:i/>
        </w:rPr>
        <w:t>Journal of Financ</w:t>
      </w:r>
      <w:r>
        <w:rPr>
          <w:i/>
        </w:rPr>
        <w:t>ial Economics</w:t>
      </w:r>
      <w:r>
        <w:t xml:space="preserve"> 69: 505</w:t>
      </w:r>
      <w:r w:rsidR="00FA44B6">
        <w:t>–</w:t>
      </w:r>
      <w:r>
        <w:t>527</w:t>
      </w:r>
    </w:p>
    <w:p w:rsidR="00A52318" w:rsidRDefault="00A52318" w:rsidP="00FC29A5">
      <w:pPr>
        <w:jc w:val="both"/>
      </w:pPr>
    </w:p>
    <w:p w:rsidR="00A52318" w:rsidRPr="00A52318" w:rsidRDefault="00A52318" w:rsidP="00FC29A5">
      <w:pPr>
        <w:jc w:val="both"/>
      </w:pPr>
      <w:proofErr w:type="spellStart"/>
      <w:proofErr w:type="gramStart"/>
      <w:r>
        <w:t>Leuz</w:t>
      </w:r>
      <w:proofErr w:type="spellEnd"/>
      <w:r>
        <w:t xml:space="preserve">, C. and R. </w:t>
      </w:r>
      <w:proofErr w:type="spellStart"/>
      <w:r>
        <w:t>Verrecchia</w:t>
      </w:r>
      <w:proofErr w:type="spellEnd"/>
      <w:r>
        <w:t>.</w:t>
      </w:r>
      <w:proofErr w:type="gramEnd"/>
      <w:r>
        <w:t xml:space="preserve"> 2000.  The Economic Consequences of Increased Disclosure.  </w:t>
      </w:r>
      <w:r>
        <w:rPr>
          <w:i/>
        </w:rPr>
        <w:t>Journal of Accounting Research</w:t>
      </w:r>
      <w:r>
        <w:t xml:space="preserve"> 41: 91-124</w:t>
      </w:r>
    </w:p>
    <w:p w:rsidR="00FC29A5" w:rsidRDefault="00FC29A5" w:rsidP="00FC29A5">
      <w:pPr>
        <w:jc w:val="both"/>
      </w:pPr>
    </w:p>
    <w:p w:rsidR="000A4F57" w:rsidRPr="000A4F57" w:rsidRDefault="000A4F57" w:rsidP="000A4F57">
      <w:proofErr w:type="gramStart"/>
      <w:r>
        <w:t xml:space="preserve">McLeay, S., I. </w:t>
      </w:r>
      <w:proofErr w:type="spellStart"/>
      <w:r>
        <w:t>Asimakopoulos</w:t>
      </w:r>
      <w:proofErr w:type="spellEnd"/>
      <w:r>
        <w:t xml:space="preserve">, and I </w:t>
      </w:r>
      <w:proofErr w:type="spellStart"/>
      <w:r>
        <w:t>Raonic</w:t>
      </w:r>
      <w:proofErr w:type="spellEnd"/>
      <w:r>
        <w:t>.</w:t>
      </w:r>
      <w:proofErr w:type="gramEnd"/>
      <w:r>
        <w:t xml:space="preserve"> 2004. The Asymmetric Timeliness of Earnings: Evidence from </w:t>
      </w:r>
      <w:proofErr w:type="spellStart"/>
      <w:r>
        <w:t>Interlisted</w:t>
      </w:r>
      <w:proofErr w:type="spellEnd"/>
      <w:r>
        <w:t xml:space="preserve"> Firms in Europe. </w:t>
      </w:r>
      <w:r>
        <w:rPr>
          <w:i/>
        </w:rPr>
        <w:t xml:space="preserve">Journal of Business Finance and Accounting </w:t>
      </w:r>
      <w:r>
        <w:t>31 (1-2)</w:t>
      </w:r>
    </w:p>
    <w:p w:rsidR="00FC29A5" w:rsidRDefault="00FC29A5" w:rsidP="00FC29A5">
      <w:pPr>
        <w:jc w:val="both"/>
      </w:pPr>
    </w:p>
    <w:p w:rsidR="00FC29A5" w:rsidRDefault="00FC29A5" w:rsidP="00FC29A5">
      <w:pPr>
        <w:jc w:val="both"/>
      </w:pPr>
      <w:proofErr w:type="spellStart"/>
      <w:r w:rsidRPr="00D652C6">
        <w:t>Nielsson</w:t>
      </w:r>
      <w:proofErr w:type="spellEnd"/>
      <w:r w:rsidRPr="00D652C6">
        <w:t>, U. 200</w:t>
      </w:r>
      <w:r w:rsidR="00CE6FED">
        <w:t>9</w:t>
      </w:r>
      <w:r w:rsidRPr="00D652C6">
        <w:t xml:space="preserve">. Stock Exchange Merger and Liquidity: The Case of Euronext. </w:t>
      </w:r>
      <w:r w:rsidRPr="00D652C6">
        <w:rPr>
          <w:i/>
        </w:rPr>
        <w:t>Journal of Financial Markets</w:t>
      </w:r>
      <w:r w:rsidR="00FA44B6" w:rsidRPr="00D652C6">
        <w:t xml:space="preserve"> </w:t>
      </w:r>
      <w:r w:rsidR="00D652C6" w:rsidRPr="00D652C6">
        <w:t>12(2): 229–267</w:t>
      </w:r>
      <w:r w:rsidR="00D652C6">
        <w:t xml:space="preserve"> </w:t>
      </w:r>
    </w:p>
    <w:p w:rsidR="00D652C6" w:rsidRDefault="00D652C6" w:rsidP="00FC29A5">
      <w:pPr>
        <w:jc w:val="both"/>
      </w:pPr>
    </w:p>
    <w:p w:rsidR="00FC29A5" w:rsidRDefault="00FC29A5" w:rsidP="00FC29A5">
      <w:pPr>
        <w:jc w:val="both"/>
      </w:pPr>
      <w:proofErr w:type="spellStart"/>
      <w:proofErr w:type="gramStart"/>
      <w:r>
        <w:t>Piotroski</w:t>
      </w:r>
      <w:proofErr w:type="spellEnd"/>
      <w:r>
        <w:t>, J. D. and S</w:t>
      </w:r>
      <w:r w:rsidRPr="004B112E">
        <w:t>.</w:t>
      </w:r>
      <w:r>
        <w:t xml:space="preserve"> </w:t>
      </w:r>
      <w:proofErr w:type="spellStart"/>
      <w:r>
        <w:t>Srinivsan</w:t>
      </w:r>
      <w:proofErr w:type="spellEnd"/>
      <w:r>
        <w:t>.</w:t>
      </w:r>
      <w:proofErr w:type="gramEnd"/>
      <w:r>
        <w:t xml:space="preserve"> 2008</w:t>
      </w:r>
      <w:r w:rsidRPr="004B112E">
        <w:t xml:space="preserve">. </w:t>
      </w:r>
      <w:r>
        <w:t>Regulation and Bonding: The Sarbanes-Oxley Act and the Flow of International Listings</w:t>
      </w:r>
      <w:r w:rsidRPr="004B112E">
        <w:t xml:space="preserve">. </w:t>
      </w:r>
      <w:r w:rsidRPr="004B112E">
        <w:rPr>
          <w:i/>
        </w:rPr>
        <w:t xml:space="preserve">Journal of </w:t>
      </w:r>
      <w:r>
        <w:rPr>
          <w:i/>
        </w:rPr>
        <w:t>Accounting Research</w:t>
      </w:r>
      <w:r>
        <w:t xml:space="preserve"> 46: 383</w:t>
      </w:r>
      <w:r w:rsidR="00FA44B6">
        <w:t>–</w:t>
      </w:r>
      <w:r>
        <w:t>425</w:t>
      </w:r>
    </w:p>
    <w:p w:rsidR="00FC29A5" w:rsidRDefault="00FC29A5" w:rsidP="00FC29A5">
      <w:pPr>
        <w:jc w:val="both"/>
      </w:pPr>
    </w:p>
    <w:p w:rsidR="00FC29A5" w:rsidRDefault="00FC29A5" w:rsidP="00FC29A5">
      <w:pPr>
        <w:jc w:val="both"/>
      </w:pPr>
      <w:proofErr w:type="gramStart"/>
      <w:r>
        <w:t>Poser, N</w:t>
      </w:r>
      <w:r w:rsidRPr="004B112E">
        <w:t>.</w:t>
      </w:r>
      <w:r>
        <w:t xml:space="preserve"> S. 2001</w:t>
      </w:r>
      <w:r w:rsidRPr="004B112E">
        <w:t>.</w:t>
      </w:r>
      <w:proofErr w:type="gramEnd"/>
      <w:r w:rsidRPr="004B112E">
        <w:t xml:space="preserve"> </w:t>
      </w:r>
      <w:r>
        <w:t>The Stock Exchanges of the United States and Europe: Automation, Globalization and Consolidation</w:t>
      </w:r>
      <w:r w:rsidRPr="004B112E">
        <w:t xml:space="preserve">. </w:t>
      </w:r>
      <w:r>
        <w:rPr>
          <w:i/>
        </w:rPr>
        <w:t xml:space="preserve">U. Penn. J. of Int’l Eco. L. </w:t>
      </w:r>
      <w:r w:rsidR="00FA44B6">
        <w:t>22: 497–540</w:t>
      </w:r>
    </w:p>
    <w:p w:rsidR="00FC29A5" w:rsidRDefault="00FC29A5" w:rsidP="00FC29A5">
      <w:pPr>
        <w:jc w:val="both"/>
      </w:pPr>
    </w:p>
    <w:p w:rsidR="004D24CD" w:rsidRDefault="004D24CD" w:rsidP="00B02DFA">
      <w:pPr>
        <w:autoSpaceDE w:val="0"/>
        <w:autoSpaceDN w:val="0"/>
        <w:adjustRightInd w:val="0"/>
        <w:outlineLvl w:val="0"/>
      </w:pPr>
      <w:proofErr w:type="spellStart"/>
      <w:proofErr w:type="gramStart"/>
      <w:r>
        <w:t>Pownall</w:t>
      </w:r>
      <w:proofErr w:type="spellEnd"/>
      <w:r>
        <w:t xml:space="preserve">, G., M. </w:t>
      </w:r>
      <w:proofErr w:type="spellStart"/>
      <w:r>
        <w:t>Vulcheva</w:t>
      </w:r>
      <w:proofErr w:type="spellEnd"/>
      <w:r>
        <w:t>, and X. Wang.</w:t>
      </w:r>
      <w:proofErr w:type="gramEnd"/>
      <w:r>
        <w:t xml:space="preserve">  201</w:t>
      </w:r>
      <w:r w:rsidR="00062EDC">
        <w:t>3</w:t>
      </w:r>
      <w:r>
        <w:t xml:space="preserve">.  The Ability of Global Stock Exchange Mechanisms to Mitigate Home Bias: Evidence from Euronext.  </w:t>
      </w:r>
      <w:proofErr w:type="gramStart"/>
      <w:r>
        <w:t>Emory University Working Paper.</w:t>
      </w:r>
      <w:proofErr w:type="gramEnd"/>
    </w:p>
    <w:p w:rsidR="004D24CD" w:rsidRDefault="004D24CD" w:rsidP="00B02DFA">
      <w:pPr>
        <w:autoSpaceDE w:val="0"/>
        <w:autoSpaceDN w:val="0"/>
        <w:adjustRightInd w:val="0"/>
        <w:outlineLvl w:val="0"/>
      </w:pPr>
    </w:p>
    <w:p w:rsidR="008C27DC" w:rsidRDefault="008C27DC" w:rsidP="00B02DFA">
      <w:pPr>
        <w:autoSpaceDE w:val="0"/>
        <w:autoSpaceDN w:val="0"/>
        <w:adjustRightInd w:val="0"/>
        <w:outlineLvl w:val="0"/>
        <w:rPr>
          <w:color w:val="000000"/>
        </w:rPr>
      </w:pPr>
      <w:proofErr w:type="spellStart"/>
      <w:proofErr w:type="gramStart"/>
      <w:r>
        <w:t>Pownall</w:t>
      </w:r>
      <w:proofErr w:type="spellEnd"/>
      <w:r>
        <w:t xml:space="preserve">, G. and M. </w:t>
      </w:r>
      <w:proofErr w:type="spellStart"/>
      <w:r>
        <w:t>Wieczynska</w:t>
      </w:r>
      <w:proofErr w:type="spellEnd"/>
      <w:r>
        <w:t>.</w:t>
      </w:r>
      <w:proofErr w:type="gramEnd"/>
      <w:r>
        <w:t xml:space="preserve">  </w:t>
      </w:r>
      <w:r w:rsidR="00250358">
        <w:t>201</w:t>
      </w:r>
      <w:r w:rsidR="00062EDC">
        <w:t>3</w:t>
      </w:r>
      <w:r>
        <w:t xml:space="preserve">.  </w:t>
      </w:r>
      <w:r w:rsidRPr="008C27DC">
        <w:rPr>
          <w:color w:val="000000"/>
        </w:rPr>
        <w:t>Deviations from the Mandatory Adoption of IFRS in the European Union:  Implementation, Enforcement, Incentives, and Compliance</w:t>
      </w:r>
      <w:r>
        <w:rPr>
          <w:color w:val="000000"/>
        </w:rPr>
        <w:t xml:space="preserve">.  </w:t>
      </w:r>
      <w:proofErr w:type="gramStart"/>
      <w:r>
        <w:rPr>
          <w:color w:val="000000"/>
        </w:rPr>
        <w:t>Emory University Working Paper.</w:t>
      </w:r>
      <w:proofErr w:type="gramEnd"/>
      <w:r>
        <w:rPr>
          <w:color w:val="000000"/>
        </w:rPr>
        <w:t xml:space="preserve">  </w:t>
      </w:r>
    </w:p>
    <w:p w:rsidR="008C27DC" w:rsidRDefault="008C27DC" w:rsidP="00B02DFA">
      <w:pPr>
        <w:autoSpaceDE w:val="0"/>
        <w:autoSpaceDN w:val="0"/>
        <w:adjustRightInd w:val="0"/>
        <w:outlineLvl w:val="0"/>
      </w:pPr>
    </w:p>
    <w:p w:rsidR="00E0730A" w:rsidRDefault="00E0730A" w:rsidP="00B02DFA">
      <w:pPr>
        <w:autoSpaceDE w:val="0"/>
        <w:autoSpaceDN w:val="0"/>
        <w:adjustRightInd w:val="0"/>
        <w:outlineLvl w:val="0"/>
      </w:pPr>
      <w:r>
        <w:t xml:space="preserve">Rhoads, C.  2002.  Economic Outlook for Europe Lags Behind U.S., Asia.  </w:t>
      </w:r>
      <w:proofErr w:type="gramStart"/>
      <w:r>
        <w:rPr>
          <w:i/>
        </w:rPr>
        <w:t>The Asian Wall Street Journal</w:t>
      </w:r>
      <w:r>
        <w:t>.</w:t>
      </w:r>
      <w:proofErr w:type="gramEnd"/>
      <w:r>
        <w:t xml:space="preserve">  5 December 2002.</w:t>
      </w:r>
    </w:p>
    <w:p w:rsidR="008C27DC" w:rsidRPr="00E0730A" w:rsidRDefault="008C27DC" w:rsidP="00B02DFA">
      <w:pPr>
        <w:autoSpaceDE w:val="0"/>
        <w:autoSpaceDN w:val="0"/>
        <w:adjustRightInd w:val="0"/>
        <w:outlineLvl w:val="0"/>
      </w:pPr>
    </w:p>
    <w:p w:rsidR="00C8637E" w:rsidRDefault="00C8637E" w:rsidP="00C8637E">
      <w:pPr>
        <w:autoSpaceDE w:val="0"/>
        <w:autoSpaceDN w:val="0"/>
        <w:adjustRightInd w:val="0"/>
        <w:outlineLvl w:val="0"/>
      </w:pPr>
      <w:r>
        <w:t xml:space="preserve">Roberts, M.  </w:t>
      </w:r>
      <w:proofErr w:type="gramStart"/>
      <w:r>
        <w:t>and</w:t>
      </w:r>
      <w:proofErr w:type="gramEnd"/>
      <w:r>
        <w:t xml:space="preserve"> T. Whited.  </w:t>
      </w:r>
      <w:r w:rsidR="00AB27B6">
        <w:t>2012</w:t>
      </w:r>
      <w:r>
        <w:t xml:space="preserve">.  </w:t>
      </w:r>
      <w:proofErr w:type="spellStart"/>
      <w:r>
        <w:t>Endogeneity</w:t>
      </w:r>
      <w:proofErr w:type="spellEnd"/>
      <w:r>
        <w:t xml:space="preserve"> in Empirical Corporate Finance.  </w:t>
      </w:r>
      <w:proofErr w:type="gramStart"/>
      <w:r w:rsidR="00AB27B6">
        <w:t>Simon School</w:t>
      </w:r>
      <w:r>
        <w:t xml:space="preserve"> Working Paper.</w:t>
      </w:r>
      <w:proofErr w:type="gramEnd"/>
    </w:p>
    <w:p w:rsidR="00C8637E" w:rsidRDefault="00C8637E" w:rsidP="00E617CC">
      <w:pPr>
        <w:autoSpaceDE w:val="0"/>
        <w:autoSpaceDN w:val="0"/>
        <w:adjustRightInd w:val="0"/>
        <w:jc w:val="both"/>
        <w:outlineLvl w:val="0"/>
      </w:pPr>
    </w:p>
    <w:p w:rsidR="00E0730A" w:rsidRDefault="00E0730A" w:rsidP="00E617CC">
      <w:pPr>
        <w:autoSpaceDE w:val="0"/>
        <w:autoSpaceDN w:val="0"/>
        <w:adjustRightInd w:val="0"/>
        <w:jc w:val="both"/>
        <w:outlineLvl w:val="0"/>
      </w:pPr>
      <w:proofErr w:type="spellStart"/>
      <w:proofErr w:type="gramStart"/>
      <w:r>
        <w:t>Vagias</w:t>
      </w:r>
      <w:proofErr w:type="spellEnd"/>
      <w:r>
        <w:t xml:space="preserve">, D. and M. van </w:t>
      </w:r>
      <w:proofErr w:type="spellStart"/>
      <w:r>
        <w:t>Dijk</w:t>
      </w:r>
      <w:proofErr w:type="spellEnd"/>
      <w:r>
        <w:t>.</w:t>
      </w:r>
      <w:proofErr w:type="gramEnd"/>
      <w:r>
        <w:t xml:space="preserve">  </w:t>
      </w:r>
      <w:r w:rsidR="00AB27B6">
        <w:t>2012</w:t>
      </w:r>
      <w:r>
        <w:t xml:space="preserve">.  International Capital Flows and Liquidity.  </w:t>
      </w:r>
      <w:proofErr w:type="gramStart"/>
      <w:r>
        <w:t>Erasmus University Working Paper.</w:t>
      </w:r>
      <w:proofErr w:type="gramEnd"/>
      <w:r>
        <w:t xml:space="preserve">  </w:t>
      </w:r>
    </w:p>
    <w:p w:rsidR="00457D50" w:rsidRDefault="00457D50" w:rsidP="00B72E58">
      <w:pPr>
        <w:autoSpaceDE w:val="0"/>
        <w:autoSpaceDN w:val="0"/>
        <w:adjustRightInd w:val="0"/>
        <w:sectPr w:rsidR="00457D50" w:rsidSect="0041231B">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2101"/>
        <w:tblW w:w="13720" w:type="dxa"/>
        <w:jc w:val="center"/>
        <w:tblLook w:val="04A0" w:firstRow="1" w:lastRow="0" w:firstColumn="1" w:lastColumn="0" w:noHBand="0" w:noVBand="1"/>
      </w:tblPr>
      <w:tblGrid>
        <w:gridCol w:w="2238"/>
        <w:gridCol w:w="4260"/>
        <w:gridCol w:w="902"/>
        <w:gridCol w:w="903"/>
        <w:gridCol w:w="903"/>
        <w:gridCol w:w="903"/>
        <w:gridCol w:w="902"/>
        <w:gridCol w:w="903"/>
        <w:gridCol w:w="903"/>
        <w:gridCol w:w="903"/>
      </w:tblGrid>
      <w:tr w:rsidR="00A22CC9" w:rsidRPr="00A22CC9" w:rsidTr="00A22CC9">
        <w:trPr>
          <w:jc w:val="center"/>
        </w:trPr>
        <w:tc>
          <w:tcPr>
            <w:tcW w:w="2238" w:type="dxa"/>
            <w:tcBorders>
              <w:top w:val="single" w:sz="12" w:space="0" w:color="auto"/>
              <w:bottom w:val="single" w:sz="4" w:space="0" w:color="auto"/>
            </w:tcBorders>
          </w:tcPr>
          <w:p w:rsidR="00A22CC9" w:rsidRPr="00A40E27" w:rsidRDefault="00A22CC9" w:rsidP="0077121B"/>
        </w:tc>
        <w:tc>
          <w:tcPr>
            <w:tcW w:w="4260" w:type="dxa"/>
            <w:tcBorders>
              <w:top w:val="single" w:sz="12" w:space="0" w:color="auto"/>
              <w:bottom w:val="single" w:sz="4" w:space="0" w:color="auto"/>
            </w:tcBorders>
          </w:tcPr>
          <w:p w:rsidR="00A22CC9" w:rsidRPr="00A40E27" w:rsidRDefault="00A22CC9" w:rsidP="0077121B">
            <w:pPr>
              <w:rPr>
                <w:b/>
                <w:i/>
              </w:rPr>
            </w:pPr>
          </w:p>
        </w:tc>
        <w:tc>
          <w:tcPr>
            <w:tcW w:w="902"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2002</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2003</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2004</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2005</w:t>
            </w:r>
          </w:p>
        </w:tc>
        <w:tc>
          <w:tcPr>
            <w:tcW w:w="902"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2006</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2007</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2008</w:t>
            </w:r>
          </w:p>
        </w:tc>
        <w:tc>
          <w:tcPr>
            <w:tcW w:w="903" w:type="dxa"/>
            <w:tcBorders>
              <w:top w:val="single" w:sz="12" w:space="0" w:color="auto"/>
              <w:bottom w:val="single" w:sz="4" w:space="0" w:color="auto"/>
            </w:tcBorders>
          </w:tcPr>
          <w:p w:rsidR="00A22CC9" w:rsidRPr="00A22CC9" w:rsidRDefault="00A22CC9" w:rsidP="0077121B">
            <w:pPr>
              <w:jc w:val="center"/>
              <w:rPr>
                <w:rFonts w:ascii="Times New Roman" w:hAnsi="Times New Roman" w:cs="Times New Roman"/>
              </w:rPr>
            </w:pPr>
            <w:r w:rsidRPr="00A22CC9">
              <w:rPr>
                <w:rFonts w:ascii="Times New Roman" w:hAnsi="Times New Roman" w:cs="Times New Roman"/>
              </w:rPr>
              <w:t>2009</w:t>
            </w:r>
          </w:p>
        </w:tc>
      </w:tr>
      <w:tr w:rsidR="0077121B" w:rsidRPr="00A40E27" w:rsidTr="00A22CC9">
        <w:trPr>
          <w:jc w:val="center"/>
        </w:trPr>
        <w:tc>
          <w:tcPr>
            <w:tcW w:w="2238" w:type="dxa"/>
            <w:tcBorders>
              <w:top w:val="single" w:sz="4" w:space="0" w:color="auto"/>
            </w:tcBorders>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Borders>
              <w:top w:val="single" w:sz="4" w:space="0" w:color="auto"/>
            </w:tcBorders>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Global Auditor (Percentage)</w:t>
            </w:r>
          </w:p>
        </w:tc>
        <w:tc>
          <w:tcPr>
            <w:tcW w:w="902"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65</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65</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65</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66</w:t>
            </w:r>
          </w:p>
        </w:tc>
        <w:tc>
          <w:tcPr>
            <w:tcW w:w="902"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65</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69</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68</w:t>
            </w:r>
          </w:p>
        </w:tc>
        <w:tc>
          <w:tcPr>
            <w:tcW w:w="903" w:type="dxa"/>
            <w:tcBorders>
              <w:top w:val="single" w:sz="4"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77</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82</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83</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81</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86</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Using IFRS</w:t>
            </w:r>
            <w:r w:rsidRPr="00A40E27">
              <w:rPr>
                <w:rFonts w:ascii="Times New Roman" w:hAnsi="Times New Roman" w:cs="Times New Roman"/>
                <w:b/>
              </w:rPr>
              <w:t xml:space="preserve"> </w:t>
            </w:r>
            <w:r w:rsidRPr="00A40E27">
              <w:rPr>
                <w:rFonts w:ascii="Times New Roman" w:hAnsi="Times New Roman" w:cs="Times New Roman"/>
                <w:b/>
                <w:i/>
              </w:rPr>
              <w:t>(Percentage)</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58</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73</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97</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90</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82</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Issuing Quarterly Reports (Percentage)</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14</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37</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55</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62</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32</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81</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Reporting in English(Percentage)</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11</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25</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86</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93</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76</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80</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Average (out of 8) Website Score</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1.47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1.77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2.10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2.44</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2.60</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3.15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3.37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3.77</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4.29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4.52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4.79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5.02</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5.33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5.47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5.65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5.79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4.37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4.46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4.63</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4.86</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5.17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5.28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5.35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5.59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4.18</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4.61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5.01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5.24</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5.54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5.74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6.21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6.3</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c>
          <w:tcPr>
            <w:tcW w:w="903" w:type="dxa"/>
          </w:tcPr>
          <w:p w:rsidR="0077121B" w:rsidRPr="00A40E27" w:rsidRDefault="0077121B" w:rsidP="0077121B">
            <w:pPr>
              <w:jc w:val="center"/>
              <w:rPr>
                <w:rFonts w:ascii="Times New Roman" w:hAnsi="Times New Roman" w:cs="Times New Roman"/>
              </w:rPr>
            </w:pP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Non</w:t>
            </w:r>
            <w:r>
              <w:rPr>
                <w:rFonts w:ascii="Times New Roman" w:hAnsi="Times New Roman" w:cs="Times New Roman"/>
              </w:rPr>
              <w:t>-</w:t>
            </w: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b/>
                <w:i/>
              </w:rPr>
            </w:pPr>
            <w:r w:rsidRPr="00A40E27">
              <w:rPr>
                <w:rFonts w:ascii="Times New Roman" w:hAnsi="Times New Roman" w:cs="Times New Roman"/>
                <w:b/>
                <w:i/>
              </w:rPr>
              <w:t>Functioning Website (Percentage)</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59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69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73</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77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r>
      <w:tr w:rsidR="0077121B" w:rsidRPr="00A40E27" w:rsidTr="00FA5FF3">
        <w:trPr>
          <w:jc w:val="center"/>
        </w:trPr>
        <w:tc>
          <w:tcPr>
            <w:tcW w:w="2238" w:type="dxa"/>
          </w:tcPr>
          <w:p w:rsidR="0077121B" w:rsidRPr="00A40E27" w:rsidRDefault="0077121B" w:rsidP="0077121B">
            <w:pPr>
              <w:rPr>
                <w:rFonts w:ascii="Times New Roman" w:hAnsi="Times New Roman" w:cs="Times New Roman"/>
              </w:rPr>
            </w:pPr>
            <w:r w:rsidRPr="00A40E27">
              <w:rPr>
                <w:rFonts w:ascii="Times New Roman" w:hAnsi="Times New Roman" w:cs="Times New Roman"/>
              </w:rPr>
              <w:t>Segment Firms</w:t>
            </w:r>
          </w:p>
        </w:tc>
        <w:tc>
          <w:tcPr>
            <w:tcW w:w="4260" w:type="dxa"/>
          </w:tcPr>
          <w:p w:rsidR="0077121B" w:rsidRPr="00A40E27" w:rsidRDefault="0077121B" w:rsidP="0077121B">
            <w:pPr>
              <w:rPr>
                <w:rFonts w:ascii="Times New Roman" w:hAnsi="Times New Roman" w:cs="Times New Roman"/>
              </w:rPr>
            </w:pP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85</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87</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91</w:t>
            </w:r>
          </w:p>
        </w:tc>
        <w:tc>
          <w:tcPr>
            <w:tcW w:w="902"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94</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99</w:t>
            </w:r>
          </w:p>
        </w:tc>
      </w:tr>
      <w:tr w:rsidR="0077121B" w:rsidRPr="00A40E27" w:rsidTr="00FA25F8">
        <w:trPr>
          <w:jc w:val="center"/>
        </w:trPr>
        <w:tc>
          <w:tcPr>
            <w:tcW w:w="2238" w:type="dxa"/>
            <w:tcBorders>
              <w:bottom w:val="single" w:sz="4" w:space="0" w:color="000000" w:themeColor="text1"/>
            </w:tcBorders>
          </w:tcPr>
          <w:p w:rsidR="0077121B" w:rsidRPr="00A40E27" w:rsidRDefault="0077121B" w:rsidP="0077121B">
            <w:pPr>
              <w:rPr>
                <w:rFonts w:ascii="Times New Roman" w:hAnsi="Times New Roman" w:cs="Times New Roman"/>
              </w:rPr>
            </w:pPr>
            <w:r w:rsidRPr="00A40E27">
              <w:rPr>
                <w:rFonts w:ascii="Times New Roman" w:hAnsi="Times New Roman" w:cs="Times New Roman"/>
              </w:rPr>
              <w:t>NextPrime Firms</w:t>
            </w:r>
          </w:p>
        </w:tc>
        <w:tc>
          <w:tcPr>
            <w:tcW w:w="4260" w:type="dxa"/>
            <w:tcBorders>
              <w:bottom w:val="single" w:sz="4" w:space="0" w:color="000000" w:themeColor="text1"/>
            </w:tcBorders>
          </w:tcPr>
          <w:p w:rsidR="0077121B" w:rsidRPr="00A40E27" w:rsidRDefault="0077121B" w:rsidP="0077121B">
            <w:pPr>
              <w:rPr>
                <w:rFonts w:ascii="Times New Roman" w:hAnsi="Times New Roman" w:cs="Times New Roman"/>
              </w:rPr>
            </w:pPr>
          </w:p>
        </w:tc>
        <w:tc>
          <w:tcPr>
            <w:tcW w:w="902"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90</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2"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95</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Borders>
              <w:bottom w:val="single" w:sz="4" w:space="0" w:color="000000" w:themeColor="text1"/>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99</w:t>
            </w:r>
          </w:p>
        </w:tc>
      </w:tr>
      <w:tr w:rsidR="0077121B" w:rsidRPr="00A40E27" w:rsidTr="00FA25F8">
        <w:trPr>
          <w:jc w:val="center"/>
        </w:trPr>
        <w:tc>
          <w:tcPr>
            <w:tcW w:w="2238" w:type="dxa"/>
            <w:tcBorders>
              <w:bottom w:val="single" w:sz="12" w:space="0" w:color="auto"/>
            </w:tcBorders>
          </w:tcPr>
          <w:p w:rsidR="0077121B" w:rsidRPr="00A40E27" w:rsidRDefault="0077121B" w:rsidP="0077121B">
            <w:pPr>
              <w:rPr>
                <w:rFonts w:ascii="Times New Roman" w:hAnsi="Times New Roman" w:cs="Times New Roman"/>
              </w:rPr>
            </w:pPr>
            <w:r w:rsidRPr="00A40E27">
              <w:rPr>
                <w:rFonts w:ascii="Times New Roman" w:hAnsi="Times New Roman" w:cs="Times New Roman"/>
              </w:rPr>
              <w:t>NextEconomy Firms</w:t>
            </w:r>
          </w:p>
        </w:tc>
        <w:tc>
          <w:tcPr>
            <w:tcW w:w="4260" w:type="dxa"/>
            <w:tcBorders>
              <w:bottom w:val="single" w:sz="12" w:space="0" w:color="auto"/>
            </w:tcBorders>
          </w:tcPr>
          <w:p w:rsidR="0077121B" w:rsidRPr="00A40E27" w:rsidRDefault="0077121B" w:rsidP="0077121B">
            <w:pPr>
              <w:rPr>
                <w:rFonts w:ascii="Times New Roman" w:hAnsi="Times New Roman" w:cs="Times New Roman"/>
              </w:rPr>
            </w:pPr>
          </w:p>
        </w:tc>
        <w:tc>
          <w:tcPr>
            <w:tcW w:w="902"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81</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84</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88</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89</w:t>
            </w:r>
          </w:p>
        </w:tc>
        <w:tc>
          <w:tcPr>
            <w:tcW w:w="902"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92</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96</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97</w:t>
            </w:r>
          </w:p>
        </w:tc>
        <w:tc>
          <w:tcPr>
            <w:tcW w:w="903" w:type="dxa"/>
            <w:tcBorders>
              <w:bottom w:val="single" w:sz="12" w:space="0" w:color="auto"/>
            </w:tcBorders>
          </w:tcPr>
          <w:p w:rsidR="0077121B" w:rsidRPr="00A40E27" w:rsidRDefault="0077121B" w:rsidP="0077121B">
            <w:pPr>
              <w:jc w:val="center"/>
              <w:rPr>
                <w:rFonts w:ascii="Times New Roman" w:hAnsi="Times New Roman" w:cs="Times New Roman"/>
              </w:rPr>
            </w:pPr>
            <w:r w:rsidRPr="00A40E27">
              <w:rPr>
                <w:rFonts w:ascii="Times New Roman" w:hAnsi="Times New Roman" w:cs="Times New Roman"/>
              </w:rPr>
              <w:t>100</w:t>
            </w:r>
          </w:p>
        </w:tc>
      </w:tr>
      <w:tr w:rsidR="0077121B" w:rsidRPr="00A40E27" w:rsidTr="00FA25F8">
        <w:trPr>
          <w:jc w:val="center"/>
        </w:trPr>
        <w:tc>
          <w:tcPr>
            <w:tcW w:w="6498" w:type="dxa"/>
            <w:gridSpan w:val="2"/>
            <w:tcBorders>
              <w:top w:val="single" w:sz="12" w:space="0" w:color="auto"/>
              <w:left w:val="nil"/>
              <w:bottom w:val="nil"/>
              <w:right w:val="nil"/>
            </w:tcBorders>
          </w:tcPr>
          <w:p w:rsidR="0077121B" w:rsidRPr="00A40E27" w:rsidRDefault="0077121B" w:rsidP="0077121B">
            <w:pPr>
              <w:rPr>
                <w:rFonts w:ascii="Times New Roman" w:hAnsi="Times New Roman" w:cs="Times New Roman"/>
              </w:rPr>
            </w:pPr>
            <w:r>
              <w:rPr>
                <w:rFonts w:ascii="Times New Roman" w:hAnsi="Times New Roman" w:cs="Times New Roman"/>
              </w:rPr>
              <w:t>(continues on next page)</w:t>
            </w:r>
          </w:p>
        </w:tc>
        <w:tc>
          <w:tcPr>
            <w:tcW w:w="902"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2"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c>
          <w:tcPr>
            <w:tcW w:w="903" w:type="dxa"/>
            <w:tcBorders>
              <w:top w:val="single" w:sz="12" w:space="0" w:color="auto"/>
              <w:left w:val="nil"/>
              <w:bottom w:val="nil"/>
              <w:right w:val="nil"/>
            </w:tcBorders>
          </w:tcPr>
          <w:p w:rsidR="0077121B" w:rsidRPr="00A40E27" w:rsidRDefault="0077121B" w:rsidP="0077121B">
            <w:pPr>
              <w:jc w:val="center"/>
              <w:rPr>
                <w:rFonts w:ascii="Times New Roman" w:hAnsi="Times New Roman" w:cs="Times New Roman"/>
              </w:rPr>
            </w:pPr>
          </w:p>
        </w:tc>
      </w:tr>
    </w:tbl>
    <w:p w:rsidR="00A44F5C" w:rsidRDefault="00A44F5C" w:rsidP="00A44F5C">
      <w:pPr>
        <w:jc w:val="center"/>
        <w:outlineLvl w:val="0"/>
        <w:rPr>
          <w:b/>
        </w:rPr>
      </w:pPr>
      <w:r w:rsidRPr="00A40E27">
        <w:rPr>
          <w:b/>
        </w:rPr>
        <w:t xml:space="preserve"> </w:t>
      </w:r>
      <w:proofErr w:type="gramStart"/>
      <w:r w:rsidRPr="00A40E27">
        <w:rPr>
          <w:b/>
        </w:rPr>
        <w:t>Table 1.</w:t>
      </w:r>
      <w:proofErr w:type="gramEnd"/>
      <w:r w:rsidRPr="00A40E27">
        <w:rPr>
          <w:b/>
        </w:rPr>
        <w:t xml:space="preserve">   Comparison of </w:t>
      </w:r>
      <w:r w:rsidR="00C81DDE">
        <w:rPr>
          <w:b/>
        </w:rPr>
        <w:t>s</w:t>
      </w:r>
      <w:r w:rsidRPr="00A40E27">
        <w:rPr>
          <w:b/>
        </w:rPr>
        <w:t xml:space="preserve">elected </w:t>
      </w:r>
      <w:r w:rsidR="00C81DDE">
        <w:rPr>
          <w:b/>
        </w:rPr>
        <w:t>c</w:t>
      </w:r>
      <w:r w:rsidRPr="00A40E27">
        <w:rPr>
          <w:b/>
        </w:rPr>
        <w:t xml:space="preserve">haracteristics of </w:t>
      </w:r>
      <w:r w:rsidR="00C81DDE">
        <w:rPr>
          <w:b/>
        </w:rPr>
        <w:t>f</w:t>
      </w:r>
      <w:r w:rsidRPr="00A40E27">
        <w:rPr>
          <w:b/>
        </w:rPr>
        <w:t xml:space="preserve">inancial </w:t>
      </w:r>
      <w:r w:rsidR="00C81DDE">
        <w:rPr>
          <w:b/>
        </w:rPr>
        <w:t>r</w:t>
      </w:r>
      <w:r w:rsidRPr="00A40E27">
        <w:rPr>
          <w:b/>
        </w:rPr>
        <w:t xml:space="preserve">eporting, </w:t>
      </w:r>
      <w:r w:rsidR="00C81DDE">
        <w:rPr>
          <w:b/>
        </w:rPr>
        <w:t>s</w:t>
      </w:r>
      <w:r w:rsidRPr="00A40E27">
        <w:rPr>
          <w:b/>
        </w:rPr>
        <w:t xml:space="preserve">egment vs. </w:t>
      </w:r>
      <w:r w:rsidR="00C81DDE">
        <w:rPr>
          <w:b/>
        </w:rPr>
        <w:t>n</w:t>
      </w:r>
      <w:r w:rsidRPr="00A40E27">
        <w:rPr>
          <w:b/>
        </w:rPr>
        <w:t>on</w:t>
      </w:r>
      <w:r>
        <w:rPr>
          <w:b/>
        </w:rPr>
        <w:t>-</w:t>
      </w:r>
      <w:r w:rsidRPr="00A40E27">
        <w:rPr>
          <w:b/>
        </w:rPr>
        <w:t xml:space="preserve">segment </w:t>
      </w:r>
      <w:r w:rsidR="00C81DDE">
        <w:rPr>
          <w:b/>
        </w:rPr>
        <w:t>f</w:t>
      </w:r>
      <w:r w:rsidRPr="00A40E27">
        <w:rPr>
          <w:b/>
        </w:rPr>
        <w:t>irms</w:t>
      </w:r>
    </w:p>
    <w:p w:rsidR="00AE44BB" w:rsidRDefault="00AE44BB" w:rsidP="00A44F5C">
      <w:pPr>
        <w:outlineLvl w:val="0"/>
        <w:rPr>
          <w:color w:val="000000"/>
        </w:rPr>
      </w:pPr>
    </w:p>
    <w:p w:rsidR="00A44F5C" w:rsidRPr="00FA25F8" w:rsidRDefault="00A44F5C" w:rsidP="00A44F5C">
      <w:pPr>
        <w:outlineLvl w:val="0"/>
        <w:rPr>
          <w:b/>
          <w:color w:val="000000"/>
        </w:rPr>
      </w:pPr>
      <w:r w:rsidRPr="00FA25F8">
        <w:rPr>
          <w:b/>
          <w:color w:val="000000"/>
        </w:rPr>
        <w:lastRenderedPageBreak/>
        <w:t>Table 1 (continued)</w:t>
      </w:r>
    </w:p>
    <w:p w:rsidR="00A44F5C" w:rsidRPr="00A40E27" w:rsidRDefault="00A44F5C" w:rsidP="00A44F5C">
      <w:pPr>
        <w:jc w:val="both"/>
        <w:rPr>
          <w:sz w:val="20"/>
        </w:rPr>
      </w:pPr>
      <w:r w:rsidRPr="00A40E27">
        <w:rPr>
          <w:sz w:val="20"/>
        </w:rPr>
        <w:t xml:space="preserve">Data are all available firm-years for sample firms listed on the NextPrime and NextEconomy segments of Euronext, plus a random sample of 150 Euronext-listed firms not included on either named segment.  Sources for data on the use a global auditor (Big Five or Big Four), use of IFRS, the release of quarterly reports in any year, and the use of English as a primary or secondary reporting language are </w:t>
      </w:r>
      <w:proofErr w:type="spellStart"/>
      <w:r w:rsidRPr="00A40E27">
        <w:rPr>
          <w:sz w:val="20"/>
        </w:rPr>
        <w:t>ThomsonOne</w:t>
      </w:r>
      <w:proofErr w:type="spellEnd"/>
      <w:r w:rsidRPr="00A40E27">
        <w:rPr>
          <w:sz w:val="20"/>
        </w:rPr>
        <w:t xml:space="preserve"> filings and company websites.  The Website Score is from Frost, Gordon, and </w:t>
      </w:r>
      <w:proofErr w:type="spellStart"/>
      <w:r w:rsidRPr="00A40E27">
        <w:rPr>
          <w:sz w:val="20"/>
        </w:rPr>
        <w:t>Pownall</w:t>
      </w:r>
      <w:proofErr w:type="spellEnd"/>
      <w:r w:rsidRPr="00A40E27">
        <w:rPr>
          <w:sz w:val="20"/>
        </w:rPr>
        <w:t xml:space="preserve"> (2010), and the source of data on websites comes from current websites for each sample firm and from the Internet Archive </w:t>
      </w:r>
      <w:proofErr w:type="spellStart"/>
      <w:r w:rsidRPr="00A40E27">
        <w:rPr>
          <w:sz w:val="20"/>
        </w:rPr>
        <w:t>Wayback</w:t>
      </w:r>
      <w:proofErr w:type="spellEnd"/>
      <w:r w:rsidRPr="00A40E27">
        <w:rPr>
          <w:sz w:val="20"/>
        </w:rPr>
        <w:t xml:space="preserve"> Machine available at </w:t>
      </w:r>
      <w:r w:rsidRPr="00A40E27">
        <w:rPr>
          <w:color w:val="000000"/>
          <w:sz w:val="20"/>
        </w:rPr>
        <w:t>http://www.archive.org/web/web.php</w:t>
      </w:r>
      <w:r w:rsidRPr="00A40E27">
        <w:rPr>
          <w:sz w:val="20"/>
        </w:rPr>
        <w:t xml:space="preserve"> for previous years' websites.  The Website Score is a disclosure categorical variable taking on the following values:</w:t>
      </w:r>
    </w:p>
    <w:p w:rsidR="00A44F5C" w:rsidRPr="00A40E27" w:rsidRDefault="00A44F5C" w:rsidP="00A44F5C">
      <w:pPr>
        <w:ind w:left="720" w:hanging="720"/>
        <w:rPr>
          <w:sz w:val="20"/>
        </w:rPr>
      </w:pPr>
      <w:r w:rsidRPr="00A40E27">
        <w:rPr>
          <w:sz w:val="20"/>
        </w:rPr>
        <w:tab/>
        <w:t>0:  Firm has no website;</w:t>
      </w:r>
    </w:p>
    <w:p w:rsidR="00A44F5C" w:rsidRPr="00A40E27" w:rsidRDefault="00A44F5C" w:rsidP="00A44F5C">
      <w:pPr>
        <w:ind w:left="720" w:hanging="720"/>
        <w:rPr>
          <w:sz w:val="20"/>
        </w:rPr>
      </w:pPr>
      <w:r w:rsidRPr="00A40E27">
        <w:rPr>
          <w:sz w:val="20"/>
        </w:rPr>
        <w:tab/>
        <w:t>1:  A domestic language-only website is available;</w:t>
      </w:r>
    </w:p>
    <w:p w:rsidR="00A44F5C" w:rsidRPr="00A40E27" w:rsidRDefault="00A44F5C" w:rsidP="00A44F5C">
      <w:pPr>
        <w:ind w:left="720" w:hanging="720"/>
        <w:rPr>
          <w:sz w:val="20"/>
        </w:rPr>
      </w:pPr>
      <w:r w:rsidRPr="00A40E27">
        <w:rPr>
          <w:sz w:val="20"/>
        </w:rPr>
        <w:tab/>
        <w:t>2:  An English version of the website is available;</w:t>
      </w:r>
    </w:p>
    <w:p w:rsidR="00A44F5C" w:rsidRPr="00A40E27" w:rsidRDefault="00A44F5C" w:rsidP="00A44F5C">
      <w:pPr>
        <w:ind w:left="720" w:hanging="720"/>
        <w:rPr>
          <w:sz w:val="20"/>
        </w:rPr>
      </w:pPr>
      <w:r w:rsidRPr="00A40E27">
        <w:rPr>
          <w:sz w:val="20"/>
        </w:rPr>
        <w:tab/>
        <w:t>3:  The English version apparently mirrors (in form and content) the domestic language version;</w:t>
      </w:r>
      <w:r w:rsidRPr="00A40E27">
        <w:rPr>
          <w:sz w:val="20"/>
        </w:rPr>
        <w:tab/>
      </w:r>
    </w:p>
    <w:p w:rsidR="00A44F5C" w:rsidRPr="00A40E27" w:rsidRDefault="00A44F5C" w:rsidP="00A44F5C">
      <w:pPr>
        <w:ind w:left="720" w:hanging="720"/>
        <w:rPr>
          <w:sz w:val="20"/>
        </w:rPr>
      </w:pPr>
      <w:r w:rsidRPr="00A40E27">
        <w:rPr>
          <w:sz w:val="20"/>
        </w:rPr>
        <w:tab/>
        <w:t>4:  The website provides an investor relations page;</w:t>
      </w:r>
    </w:p>
    <w:p w:rsidR="00A44F5C" w:rsidRPr="00A40E27" w:rsidRDefault="00A44F5C" w:rsidP="00A44F5C">
      <w:pPr>
        <w:ind w:left="720" w:hanging="720"/>
        <w:rPr>
          <w:sz w:val="20"/>
        </w:rPr>
      </w:pPr>
      <w:r w:rsidRPr="00A40E27">
        <w:rPr>
          <w:sz w:val="20"/>
        </w:rPr>
        <w:tab/>
        <w:t>5:  The website provides current financial statements;</w:t>
      </w:r>
    </w:p>
    <w:p w:rsidR="00A44F5C" w:rsidRPr="00A40E27" w:rsidRDefault="00A44F5C" w:rsidP="00A44F5C">
      <w:pPr>
        <w:ind w:left="720" w:hanging="720"/>
        <w:rPr>
          <w:sz w:val="20"/>
        </w:rPr>
      </w:pPr>
      <w:r w:rsidRPr="00A40E27">
        <w:rPr>
          <w:sz w:val="20"/>
        </w:rPr>
        <w:tab/>
        <w:t>6:  The website provides prior years’ annual financial statements;</w:t>
      </w:r>
    </w:p>
    <w:p w:rsidR="00A44F5C" w:rsidRPr="00A40E27" w:rsidRDefault="00A44F5C" w:rsidP="00A44F5C">
      <w:pPr>
        <w:ind w:left="720" w:hanging="720"/>
        <w:rPr>
          <w:sz w:val="20"/>
        </w:rPr>
      </w:pPr>
      <w:r w:rsidRPr="00A40E27">
        <w:rPr>
          <w:sz w:val="20"/>
        </w:rPr>
        <w:tab/>
        <w:t>7:  The website provides press releases;</w:t>
      </w:r>
    </w:p>
    <w:p w:rsidR="00A44F5C" w:rsidRPr="00A40E27" w:rsidRDefault="00A44F5C" w:rsidP="00A44F5C">
      <w:pPr>
        <w:ind w:left="720" w:hanging="720"/>
        <w:rPr>
          <w:sz w:val="20"/>
        </w:rPr>
      </w:pPr>
      <w:r w:rsidRPr="00A40E27">
        <w:rPr>
          <w:sz w:val="20"/>
        </w:rPr>
        <w:tab/>
        <w:t>8:  The website provides conference calls.</w:t>
      </w:r>
    </w:p>
    <w:p w:rsidR="00A44F5C" w:rsidRPr="00A40E27" w:rsidRDefault="00A44F5C" w:rsidP="00A44F5C">
      <w:pPr>
        <w:rPr>
          <w:sz w:val="20"/>
        </w:rPr>
      </w:pPr>
      <w:r w:rsidRPr="00A40E27">
        <w:rPr>
          <w:sz w:val="20"/>
        </w:rPr>
        <w:t xml:space="preserve">Percentage of firms with Functioning Website is the percentage of firms in each category that have values of 1 or more on the </w:t>
      </w:r>
      <w:proofErr w:type="spellStart"/>
      <w:r w:rsidRPr="00A40E27">
        <w:rPr>
          <w:sz w:val="20"/>
        </w:rPr>
        <w:t>WebsiteScore</w:t>
      </w:r>
      <w:proofErr w:type="spellEnd"/>
      <w:r w:rsidRPr="00A40E27">
        <w:rPr>
          <w:sz w:val="20"/>
        </w:rPr>
        <w:t>.</w:t>
      </w:r>
    </w:p>
    <w:p w:rsidR="00A44F5C" w:rsidRPr="00A40E27" w:rsidRDefault="00A44F5C" w:rsidP="00A44F5C">
      <w:pPr>
        <w:autoSpaceDE w:val="0"/>
        <w:autoSpaceDN w:val="0"/>
        <w:adjustRightInd w:val="0"/>
        <w:rPr>
          <w:color w:val="000000"/>
        </w:rPr>
      </w:pPr>
    </w:p>
    <w:p w:rsidR="00A44F5C" w:rsidRPr="00A40E27" w:rsidRDefault="00A44F5C" w:rsidP="00A44F5C">
      <w:pPr>
        <w:autoSpaceDE w:val="0"/>
        <w:autoSpaceDN w:val="0"/>
        <w:adjustRightInd w:val="0"/>
        <w:rPr>
          <w:color w:val="000000"/>
        </w:rPr>
      </w:pPr>
    </w:p>
    <w:p w:rsidR="00A44F5C" w:rsidRPr="00A40E27" w:rsidRDefault="00A44F5C" w:rsidP="00A44F5C">
      <w:pPr>
        <w:autoSpaceDE w:val="0"/>
        <w:autoSpaceDN w:val="0"/>
        <w:adjustRightInd w:val="0"/>
        <w:rPr>
          <w:color w:val="000000"/>
        </w:rPr>
      </w:pPr>
    </w:p>
    <w:p w:rsidR="00A44F5C" w:rsidRPr="00A40E27" w:rsidRDefault="00A44F5C" w:rsidP="00A44F5C">
      <w:pPr>
        <w:autoSpaceDE w:val="0"/>
        <w:autoSpaceDN w:val="0"/>
        <w:adjustRightInd w:val="0"/>
        <w:rPr>
          <w:color w:val="000000"/>
        </w:rPr>
      </w:pPr>
    </w:p>
    <w:p w:rsidR="00A44F5C" w:rsidRPr="00A40E27" w:rsidRDefault="00A44F5C" w:rsidP="00A44F5C">
      <w:pPr>
        <w:autoSpaceDE w:val="0"/>
        <w:autoSpaceDN w:val="0"/>
        <w:adjustRightInd w:val="0"/>
        <w:rPr>
          <w:color w:val="000000"/>
        </w:rPr>
      </w:pPr>
    </w:p>
    <w:p w:rsidR="00A44F5C" w:rsidRPr="00A40E27" w:rsidRDefault="00A44F5C" w:rsidP="00A44F5C">
      <w:pPr>
        <w:autoSpaceDE w:val="0"/>
        <w:autoSpaceDN w:val="0"/>
        <w:adjustRightInd w:val="0"/>
        <w:rPr>
          <w:b/>
        </w:rPr>
      </w:pPr>
    </w:p>
    <w:p w:rsidR="00A44F5C" w:rsidRPr="00A40E27" w:rsidRDefault="00A44F5C" w:rsidP="00A44F5C">
      <w:pPr>
        <w:autoSpaceDE w:val="0"/>
        <w:autoSpaceDN w:val="0"/>
        <w:adjustRightInd w:val="0"/>
        <w:rPr>
          <w:b/>
        </w:rPr>
        <w:sectPr w:rsidR="00A44F5C" w:rsidRPr="00A40E27" w:rsidSect="00714358">
          <w:headerReference w:type="default" r:id="rId13"/>
          <w:pgSz w:w="15840" w:h="12240" w:orient="landscape"/>
          <w:pgMar w:top="1440" w:right="1440" w:bottom="1440" w:left="1440" w:header="720" w:footer="720" w:gutter="0"/>
          <w:cols w:space="720"/>
          <w:docGrid w:linePitch="360"/>
        </w:sectPr>
      </w:pPr>
    </w:p>
    <w:p w:rsidR="00A44F5C" w:rsidRPr="00A40E27" w:rsidRDefault="00C81DDE" w:rsidP="00A44F5C">
      <w:pPr>
        <w:autoSpaceDE w:val="0"/>
        <w:autoSpaceDN w:val="0"/>
        <w:adjustRightInd w:val="0"/>
        <w:jc w:val="center"/>
        <w:rPr>
          <w:b/>
          <w:szCs w:val="20"/>
        </w:rPr>
      </w:pPr>
      <w:proofErr w:type="gramStart"/>
      <w:r>
        <w:rPr>
          <w:b/>
          <w:szCs w:val="20"/>
        </w:rPr>
        <w:lastRenderedPageBreak/>
        <w:t>Table 2.</w:t>
      </w:r>
      <w:proofErr w:type="gramEnd"/>
      <w:r>
        <w:rPr>
          <w:b/>
          <w:szCs w:val="20"/>
        </w:rPr>
        <w:t xml:space="preserve"> Variable d</w:t>
      </w:r>
      <w:r w:rsidR="00A44F5C" w:rsidRPr="00A40E27">
        <w:rPr>
          <w:b/>
          <w:szCs w:val="20"/>
        </w:rPr>
        <w:t xml:space="preserve">efinitions and </w:t>
      </w:r>
      <w:r>
        <w:rPr>
          <w:b/>
          <w:szCs w:val="20"/>
        </w:rPr>
        <w:t>d</w:t>
      </w:r>
      <w:r w:rsidR="00A44F5C" w:rsidRPr="00A40E27">
        <w:rPr>
          <w:b/>
          <w:szCs w:val="20"/>
        </w:rPr>
        <w:t xml:space="preserve">ata </w:t>
      </w:r>
      <w:r>
        <w:rPr>
          <w:b/>
          <w:szCs w:val="20"/>
        </w:rPr>
        <w:t>s</w:t>
      </w:r>
      <w:r w:rsidR="00A44F5C" w:rsidRPr="00A40E27">
        <w:rPr>
          <w:b/>
          <w:szCs w:val="20"/>
        </w:rPr>
        <w:t>ources</w:t>
      </w:r>
    </w:p>
    <w:tbl>
      <w:tblPr>
        <w:tblpPr w:leftFromText="180" w:rightFromText="180" w:vertAnchor="page" w:horzAnchor="margin" w:tblpXSpec="center" w:tblpY="201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20"/>
        <w:gridCol w:w="1710"/>
      </w:tblGrid>
      <w:tr w:rsidR="00A44F5C" w:rsidRPr="00A40E27" w:rsidTr="00714358">
        <w:trPr>
          <w:trHeight w:val="107"/>
        </w:trPr>
        <w:tc>
          <w:tcPr>
            <w:tcW w:w="2268" w:type="dxa"/>
          </w:tcPr>
          <w:p w:rsidR="00A44F5C" w:rsidRPr="00A40E27" w:rsidRDefault="00A44F5C" w:rsidP="00714358">
            <w:pPr>
              <w:pStyle w:val="Default"/>
              <w:rPr>
                <w:sz w:val="20"/>
                <w:szCs w:val="20"/>
              </w:rPr>
            </w:pPr>
            <w:r w:rsidRPr="00A40E27">
              <w:rPr>
                <w:b/>
                <w:bCs/>
                <w:sz w:val="20"/>
                <w:szCs w:val="20"/>
              </w:rPr>
              <w:t xml:space="preserve">Variable </w:t>
            </w:r>
          </w:p>
        </w:tc>
        <w:tc>
          <w:tcPr>
            <w:tcW w:w="7020" w:type="dxa"/>
          </w:tcPr>
          <w:p w:rsidR="00A44F5C" w:rsidRPr="00A40E27" w:rsidRDefault="00A44F5C" w:rsidP="00714358">
            <w:pPr>
              <w:pStyle w:val="Default"/>
              <w:rPr>
                <w:sz w:val="20"/>
                <w:szCs w:val="20"/>
              </w:rPr>
            </w:pPr>
            <w:r w:rsidRPr="00A40E27">
              <w:rPr>
                <w:b/>
                <w:bCs/>
                <w:sz w:val="20"/>
                <w:szCs w:val="20"/>
              </w:rPr>
              <w:t xml:space="preserve">Definition </w:t>
            </w:r>
          </w:p>
        </w:tc>
        <w:tc>
          <w:tcPr>
            <w:tcW w:w="1710" w:type="dxa"/>
          </w:tcPr>
          <w:p w:rsidR="00A44F5C" w:rsidRPr="00A40E27" w:rsidRDefault="00A44F5C" w:rsidP="00714358">
            <w:pPr>
              <w:pStyle w:val="Default"/>
              <w:rPr>
                <w:sz w:val="20"/>
                <w:szCs w:val="20"/>
              </w:rPr>
            </w:pPr>
            <w:r w:rsidRPr="00A40E27">
              <w:rPr>
                <w:b/>
                <w:bCs/>
                <w:sz w:val="20"/>
                <w:szCs w:val="20"/>
              </w:rPr>
              <w:t xml:space="preserve">Source </w:t>
            </w:r>
          </w:p>
        </w:tc>
      </w:tr>
      <w:tr w:rsidR="00A44F5C" w:rsidRPr="00A40E27" w:rsidTr="00714358">
        <w:trPr>
          <w:trHeight w:val="109"/>
        </w:trPr>
        <w:tc>
          <w:tcPr>
            <w:tcW w:w="2268" w:type="dxa"/>
          </w:tcPr>
          <w:p w:rsidR="00A44F5C" w:rsidRPr="00A40E27" w:rsidRDefault="00A44F5C" w:rsidP="00714358">
            <w:pPr>
              <w:pStyle w:val="Default"/>
              <w:rPr>
                <w:sz w:val="20"/>
                <w:szCs w:val="20"/>
              </w:rPr>
            </w:pPr>
            <w:proofErr w:type="spellStart"/>
            <w:r>
              <w:rPr>
                <w:sz w:val="20"/>
                <w:szCs w:val="20"/>
              </w:rPr>
              <w:t>Accruals_Assets</w:t>
            </w:r>
            <w:proofErr w:type="spellEnd"/>
          </w:p>
        </w:tc>
        <w:tc>
          <w:tcPr>
            <w:tcW w:w="7020" w:type="dxa"/>
          </w:tcPr>
          <w:p w:rsidR="00A44F5C" w:rsidRPr="00A40E27" w:rsidRDefault="00A44F5C" w:rsidP="00714358">
            <w:pPr>
              <w:pStyle w:val="Default"/>
              <w:rPr>
                <w:sz w:val="20"/>
                <w:szCs w:val="20"/>
              </w:rPr>
            </w:pPr>
            <w:r>
              <w:rPr>
                <w:sz w:val="20"/>
                <w:szCs w:val="20"/>
              </w:rPr>
              <w:t>= Total Accruals/Total Assets</w:t>
            </w:r>
          </w:p>
        </w:tc>
        <w:tc>
          <w:tcPr>
            <w:tcW w:w="1710" w:type="dxa"/>
          </w:tcPr>
          <w:p w:rsidR="00A44F5C" w:rsidRPr="00A40E27" w:rsidRDefault="00A44F5C" w:rsidP="00714358">
            <w:pPr>
              <w:pStyle w:val="Default"/>
              <w:rPr>
                <w:sz w:val="20"/>
                <w:szCs w:val="20"/>
              </w:rPr>
            </w:pPr>
            <w:proofErr w:type="spellStart"/>
            <w:r>
              <w:rPr>
                <w:sz w:val="20"/>
                <w:szCs w:val="20"/>
              </w:rPr>
              <w:t>Worldscope</w:t>
            </w:r>
            <w:proofErr w:type="spellEnd"/>
          </w:p>
        </w:tc>
      </w:tr>
      <w:tr w:rsidR="00A44F5C" w:rsidRPr="00A40E27" w:rsidTr="00714358">
        <w:trPr>
          <w:trHeight w:val="247"/>
        </w:trPr>
        <w:tc>
          <w:tcPr>
            <w:tcW w:w="2268" w:type="dxa"/>
          </w:tcPr>
          <w:p w:rsidR="00A44F5C" w:rsidRPr="00A40E27" w:rsidRDefault="00A44F5C" w:rsidP="00714358">
            <w:pPr>
              <w:pStyle w:val="Default"/>
              <w:rPr>
                <w:sz w:val="20"/>
                <w:szCs w:val="20"/>
              </w:rPr>
            </w:pPr>
            <w:proofErr w:type="spellStart"/>
            <w:r w:rsidRPr="008C2F04">
              <w:rPr>
                <w:sz w:val="20"/>
                <w:szCs w:val="20"/>
              </w:rPr>
              <w:t>afterdrop_beforeadd</w:t>
            </w:r>
            <w:proofErr w:type="spellEnd"/>
          </w:p>
        </w:tc>
        <w:tc>
          <w:tcPr>
            <w:tcW w:w="7020" w:type="dxa"/>
          </w:tcPr>
          <w:p w:rsidR="00A44F5C" w:rsidRPr="00A40E27" w:rsidRDefault="00A44F5C" w:rsidP="00714358">
            <w:pPr>
              <w:pStyle w:val="Default"/>
              <w:rPr>
                <w:sz w:val="20"/>
                <w:szCs w:val="20"/>
              </w:rPr>
            </w:pPr>
            <w:r w:rsidRPr="00A40E27">
              <w:rPr>
                <w:sz w:val="20"/>
                <w:szCs w:val="20"/>
              </w:rPr>
              <w:t>= an indicator variable for the period after firms dropped from the</w:t>
            </w:r>
          </w:p>
          <w:p w:rsidR="00A44F5C" w:rsidRPr="00A40E27" w:rsidRDefault="00A44F5C" w:rsidP="00714358">
            <w:pPr>
              <w:pStyle w:val="Default"/>
              <w:rPr>
                <w:sz w:val="20"/>
                <w:szCs w:val="20"/>
              </w:rPr>
            </w:pPr>
            <w:r w:rsidRPr="00A40E27">
              <w:rPr>
                <w:sz w:val="20"/>
                <w:szCs w:val="20"/>
              </w:rPr>
              <w:t xml:space="preserve">   segments or before firms were added to the segments (after the </w:t>
            </w:r>
          </w:p>
          <w:p w:rsidR="00A44F5C" w:rsidRPr="00A40E27" w:rsidRDefault="00A44F5C" w:rsidP="00714358">
            <w:pPr>
              <w:pStyle w:val="Default"/>
              <w:rPr>
                <w:sz w:val="20"/>
                <w:szCs w:val="20"/>
              </w:rPr>
            </w:pPr>
            <w:r w:rsidRPr="00A40E27">
              <w:rPr>
                <w:sz w:val="20"/>
                <w:szCs w:val="20"/>
              </w:rPr>
              <w:t xml:space="preserve">   segments were formed)</w:t>
            </w:r>
          </w:p>
        </w:tc>
        <w:tc>
          <w:tcPr>
            <w:tcW w:w="1710" w:type="dxa"/>
          </w:tcPr>
          <w:p w:rsidR="00A44F5C" w:rsidRPr="00A40E27" w:rsidRDefault="00A44F5C" w:rsidP="00714358">
            <w:pPr>
              <w:pStyle w:val="Default"/>
              <w:rPr>
                <w:sz w:val="20"/>
                <w:szCs w:val="20"/>
              </w:rPr>
            </w:pPr>
            <w:r w:rsidRPr="00A40E27">
              <w:rPr>
                <w:sz w:val="20"/>
                <w:szCs w:val="20"/>
              </w:rPr>
              <w:t>Euronext*</w:t>
            </w:r>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Auditor</w:t>
            </w:r>
          </w:p>
        </w:tc>
        <w:tc>
          <w:tcPr>
            <w:tcW w:w="7020" w:type="dxa"/>
          </w:tcPr>
          <w:p w:rsidR="00A44F5C" w:rsidRPr="00A40E27" w:rsidRDefault="00A44F5C" w:rsidP="00714358">
            <w:pPr>
              <w:pStyle w:val="Default"/>
              <w:rPr>
                <w:sz w:val="20"/>
                <w:szCs w:val="20"/>
              </w:rPr>
            </w:pPr>
            <w:r w:rsidRPr="00A40E27">
              <w:rPr>
                <w:sz w:val="20"/>
                <w:szCs w:val="20"/>
              </w:rPr>
              <w:t xml:space="preserve">=  dummy variable equal to 1 if the company has a Big-5 </w:t>
            </w:r>
          </w:p>
          <w:p w:rsidR="00A44F5C" w:rsidRPr="00A40E27" w:rsidRDefault="00A44F5C" w:rsidP="00714358">
            <w:pPr>
              <w:pStyle w:val="Default"/>
              <w:rPr>
                <w:sz w:val="20"/>
                <w:szCs w:val="20"/>
              </w:rPr>
            </w:pPr>
            <w:r w:rsidRPr="00A40E27">
              <w:rPr>
                <w:sz w:val="20"/>
                <w:szCs w:val="20"/>
              </w:rPr>
              <w:t xml:space="preserve">    auditor  and 0 otherwise</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r w:rsidRPr="00A40E27">
              <w:rPr>
                <w:sz w:val="20"/>
                <w:szCs w:val="20"/>
              </w:rPr>
              <w:t xml:space="preserve"> &amp; financial reports</w:t>
            </w:r>
          </w:p>
        </w:tc>
      </w:tr>
      <w:tr w:rsidR="00A44F5C" w:rsidRPr="00A40E27" w:rsidTr="00714358">
        <w:trPr>
          <w:trHeight w:val="247"/>
        </w:trPr>
        <w:tc>
          <w:tcPr>
            <w:tcW w:w="2268" w:type="dxa"/>
          </w:tcPr>
          <w:p w:rsidR="00A44F5C" w:rsidRPr="007B6303" w:rsidRDefault="00A44F5C" w:rsidP="00714358">
            <w:pPr>
              <w:pStyle w:val="Default"/>
              <w:rPr>
                <w:sz w:val="20"/>
                <w:szCs w:val="20"/>
              </w:rPr>
            </w:pPr>
            <w:r w:rsidRPr="007B6303">
              <w:rPr>
                <w:sz w:val="20"/>
                <w:szCs w:val="20"/>
              </w:rPr>
              <w:t>Compl</w:t>
            </w:r>
            <w:r>
              <w:rPr>
                <w:sz w:val="20"/>
                <w:szCs w:val="20"/>
              </w:rPr>
              <w:t>4</w:t>
            </w:r>
          </w:p>
        </w:tc>
        <w:tc>
          <w:tcPr>
            <w:tcW w:w="7020" w:type="dxa"/>
          </w:tcPr>
          <w:p w:rsidR="00A44F5C" w:rsidRPr="00A40E27" w:rsidRDefault="00A44F5C" w:rsidP="00714358">
            <w:pPr>
              <w:pStyle w:val="Default"/>
              <w:rPr>
                <w:sz w:val="20"/>
                <w:szCs w:val="20"/>
              </w:rPr>
            </w:pPr>
            <w:r>
              <w:rPr>
                <w:sz w:val="20"/>
                <w:szCs w:val="20"/>
              </w:rPr>
              <w:t>= average of  dummy variables indicating whether (1) company uses USGAAP/IFRS; (2) provides financial reports in English; (3) is audited by a Big-5auditor; and (4) has a fully functioning website</w:t>
            </w:r>
          </w:p>
        </w:tc>
        <w:tc>
          <w:tcPr>
            <w:tcW w:w="1710" w:type="dxa"/>
          </w:tcPr>
          <w:p w:rsidR="00A44F5C" w:rsidRDefault="00A44F5C" w:rsidP="00714358">
            <w:pPr>
              <w:pStyle w:val="Default"/>
              <w:rPr>
                <w:sz w:val="20"/>
                <w:szCs w:val="20"/>
              </w:rPr>
            </w:pPr>
            <w:r>
              <w:rPr>
                <w:sz w:val="20"/>
                <w:szCs w:val="20"/>
              </w:rPr>
              <w:t>Hand-collected &amp;</w:t>
            </w:r>
          </w:p>
          <w:p w:rsidR="00A44F5C" w:rsidRPr="00A40E27" w:rsidRDefault="00A44F5C" w:rsidP="00714358">
            <w:pPr>
              <w:pStyle w:val="Default"/>
              <w:rPr>
                <w:sz w:val="20"/>
                <w:szCs w:val="20"/>
              </w:rPr>
            </w:pPr>
            <w:proofErr w:type="spellStart"/>
            <w:r>
              <w:rPr>
                <w:sz w:val="20"/>
                <w:szCs w:val="20"/>
              </w:rPr>
              <w:t>Worldscope</w:t>
            </w:r>
            <w:proofErr w:type="spellEnd"/>
          </w:p>
        </w:tc>
      </w:tr>
      <w:tr w:rsidR="00A44F5C" w:rsidRPr="00A40E27" w:rsidTr="00714358">
        <w:trPr>
          <w:trHeight w:val="247"/>
        </w:trPr>
        <w:tc>
          <w:tcPr>
            <w:tcW w:w="2268" w:type="dxa"/>
          </w:tcPr>
          <w:p w:rsidR="00A44F5C" w:rsidRDefault="00A44F5C" w:rsidP="00714358">
            <w:pPr>
              <w:pStyle w:val="Default"/>
              <w:rPr>
                <w:sz w:val="20"/>
                <w:szCs w:val="20"/>
              </w:rPr>
            </w:pPr>
            <w:r w:rsidRPr="007B6303">
              <w:rPr>
                <w:sz w:val="20"/>
                <w:szCs w:val="20"/>
              </w:rPr>
              <w:t>Compl5</w:t>
            </w:r>
          </w:p>
        </w:tc>
        <w:tc>
          <w:tcPr>
            <w:tcW w:w="7020" w:type="dxa"/>
          </w:tcPr>
          <w:p w:rsidR="00A44F5C" w:rsidRPr="00A40E27" w:rsidRDefault="00A44F5C" w:rsidP="00714358">
            <w:pPr>
              <w:pStyle w:val="Default"/>
              <w:rPr>
                <w:sz w:val="20"/>
                <w:szCs w:val="20"/>
              </w:rPr>
            </w:pPr>
            <w:r>
              <w:rPr>
                <w:sz w:val="20"/>
                <w:szCs w:val="20"/>
              </w:rPr>
              <w:t>= average of  dummy variables indicating whether (1) company uses USGAAP/IFRS; (2) provides financial reports in English; (3) is audited by a Big-5 auditor; (4) has a fully functioning website; and (5) reports quarterly</w:t>
            </w:r>
          </w:p>
        </w:tc>
        <w:tc>
          <w:tcPr>
            <w:tcW w:w="1710" w:type="dxa"/>
          </w:tcPr>
          <w:p w:rsidR="00A44F5C" w:rsidRDefault="00A44F5C" w:rsidP="00714358">
            <w:pPr>
              <w:pStyle w:val="Default"/>
              <w:rPr>
                <w:sz w:val="20"/>
                <w:szCs w:val="20"/>
              </w:rPr>
            </w:pPr>
            <w:r>
              <w:rPr>
                <w:sz w:val="20"/>
                <w:szCs w:val="20"/>
              </w:rPr>
              <w:t>Hand-collected &amp;</w:t>
            </w:r>
          </w:p>
          <w:p w:rsidR="00A44F5C" w:rsidRPr="00A40E27" w:rsidRDefault="00A44F5C" w:rsidP="00714358">
            <w:pPr>
              <w:pStyle w:val="Default"/>
              <w:rPr>
                <w:sz w:val="20"/>
                <w:szCs w:val="20"/>
              </w:rPr>
            </w:pPr>
            <w:proofErr w:type="spellStart"/>
            <w:r>
              <w:rPr>
                <w:sz w:val="20"/>
                <w:szCs w:val="20"/>
              </w:rPr>
              <w:t>Worldscope</w:t>
            </w:r>
            <w:proofErr w:type="spellEnd"/>
          </w:p>
        </w:tc>
      </w:tr>
      <w:tr w:rsidR="00A44F5C" w:rsidRPr="00A40E27" w:rsidTr="00714358">
        <w:trPr>
          <w:trHeight w:val="247"/>
        </w:trPr>
        <w:tc>
          <w:tcPr>
            <w:tcW w:w="2268" w:type="dxa"/>
          </w:tcPr>
          <w:p w:rsidR="00A44F5C" w:rsidRDefault="00A44F5C" w:rsidP="00714358">
            <w:pPr>
              <w:pStyle w:val="Default"/>
              <w:rPr>
                <w:sz w:val="20"/>
                <w:szCs w:val="20"/>
              </w:rPr>
            </w:pPr>
            <w:r>
              <w:rPr>
                <w:sz w:val="20"/>
                <w:szCs w:val="20"/>
              </w:rPr>
              <w:t>English</w:t>
            </w:r>
          </w:p>
        </w:tc>
        <w:tc>
          <w:tcPr>
            <w:tcW w:w="7020" w:type="dxa"/>
          </w:tcPr>
          <w:p w:rsidR="00A44F5C" w:rsidRPr="00A40E27" w:rsidRDefault="00A44F5C" w:rsidP="00714358">
            <w:pPr>
              <w:pStyle w:val="Default"/>
              <w:rPr>
                <w:sz w:val="20"/>
                <w:szCs w:val="20"/>
              </w:rPr>
            </w:pPr>
            <w:r>
              <w:rPr>
                <w:sz w:val="20"/>
                <w:szCs w:val="20"/>
              </w:rPr>
              <w:t>= dummy variable equal to 1 if the company provides financial reports in English</w:t>
            </w:r>
          </w:p>
        </w:tc>
        <w:tc>
          <w:tcPr>
            <w:tcW w:w="1710" w:type="dxa"/>
          </w:tcPr>
          <w:p w:rsidR="00A44F5C" w:rsidRPr="00A40E27" w:rsidRDefault="00A44F5C" w:rsidP="00714358">
            <w:pPr>
              <w:pStyle w:val="Default"/>
              <w:rPr>
                <w:sz w:val="20"/>
                <w:szCs w:val="20"/>
              </w:rPr>
            </w:pPr>
            <w:r>
              <w:rPr>
                <w:sz w:val="20"/>
                <w:szCs w:val="20"/>
              </w:rPr>
              <w:t>Hand-collected</w:t>
            </w:r>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 xml:space="preserve"># </w:t>
            </w:r>
            <w:proofErr w:type="spellStart"/>
            <w:r w:rsidRPr="00A40E27">
              <w:rPr>
                <w:sz w:val="20"/>
                <w:szCs w:val="20"/>
              </w:rPr>
              <w:t>FExchanges</w:t>
            </w:r>
            <w:proofErr w:type="spellEnd"/>
            <w:r w:rsidRPr="00A40E27">
              <w:rPr>
                <w:sz w:val="20"/>
                <w:szCs w:val="20"/>
              </w:rPr>
              <w:t xml:space="preserve"> </w:t>
            </w:r>
          </w:p>
        </w:tc>
        <w:tc>
          <w:tcPr>
            <w:tcW w:w="7020" w:type="dxa"/>
          </w:tcPr>
          <w:p w:rsidR="00A44F5C" w:rsidRPr="00A40E27" w:rsidRDefault="00A44F5C" w:rsidP="00714358">
            <w:pPr>
              <w:pStyle w:val="Default"/>
              <w:rPr>
                <w:sz w:val="20"/>
                <w:szCs w:val="20"/>
              </w:rPr>
            </w:pPr>
            <w:r w:rsidRPr="00A40E27">
              <w:rPr>
                <w:sz w:val="20"/>
                <w:szCs w:val="20"/>
              </w:rPr>
              <w:t xml:space="preserve">= the number of foreign exchanges on which the company is listed </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r w:rsidRPr="00A40E27">
              <w:rPr>
                <w:sz w:val="20"/>
                <w:szCs w:val="20"/>
              </w:rPr>
              <w:t xml:space="preserve"> </w:t>
            </w:r>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IFRS_USGAAP</w:t>
            </w:r>
          </w:p>
        </w:tc>
        <w:tc>
          <w:tcPr>
            <w:tcW w:w="7020" w:type="dxa"/>
          </w:tcPr>
          <w:p w:rsidR="00A44F5C" w:rsidRDefault="00A44F5C" w:rsidP="00714358">
            <w:pPr>
              <w:pStyle w:val="Default"/>
              <w:rPr>
                <w:sz w:val="20"/>
                <w:szCs w:val="20"/>
              </w:rPr>
            </w:pPr>
            <w:r w:rsidRPr="00A40E27">
              <w:rPr>
                <w:sz w:val="20"/>
                <w:szCs w:val="20"/>
              </w:rPr>
              <w:t xml:space="preserve">=  dummy variable equal to 1 if the company has adopted USGAAP or IFRS </w:t>
            </w:r>
          </w:p>
          <w:p w:rsidR="00A44F5C" w:rsidRPr="00A40E27" w:rsidRDefault="00A44F5C" w:rsidP="00714358">
            <w:pPr>
              <w:pStyle w:val="Default"/>
              <w:rPr>
                <w:sz w:val="20"/>
                <w:szCs w:val="20"/>
              </w:rPr>
            </w:pPr>
            <w:r>
              <w:rPr>
                <w:sz w:val="20"/>
                <w:szCs w:val="20"/>
              </w:rPr>
              <w:t xml:space="preserve">    </w:t>
            </w:r>
            <w:r w:rsidRPr="00A40E27">
              <w:rPr>
                <w:sz w:val="20"/>
                <w:szCs w:val="20"/>
              </w:rPr>
              <w:t>accounting standards and 0 otherwise</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714358">
        <w:trPr>
          <w:trHeight w:val="109"/>
        </w:trPr>
        <w:tc>
          <w:tcPr>
            <w:tcW w:w="2268" w:type="dxa"/>
          </w:tcPr>
          <w:p w:rsidR="00A44F5C" w:rsidRPr="00A40E27" w:rsidRDefault="00A44F5C" w:rsidP="00714358">
            <w:pPr>
              <w:pStyle w:val="Default"/>
              <w:rPr>
                <w:sz w:val="20"/>
                <w:szCs w:val="20"/>
              </w:rPr>
            </w:pPr>
            <w:r w:rsidRPr="00A40E27">
              <w:rPr>
                <w:sz w:val="20"/>
                <w:szCs w:val="20"/>
              </w:rPr>
              <w:t xml:space="preserve">Leverage </w:t>
            </w:r>
          </w:p>
        </w:tc>
        <w:tc>
          <w:tcPr>
            <w:tcW w:w="7020" w:type="dxa"/>
          </w:tcPr>
          <w:p w:rsidR="00A44F5C" w:rsidRPr="00A40E27" w:rsidRDefault="00A44F5C" w:rsidP="00714358">
            <w:pPr>
              <w:pStyle w:val="Default"/>
              <w:rPr>
                <w:sz w:val="20"/>
                <w:szCs w:val="20"/>
              </w:rPr>
            </w:pPr>
            <w:r w:rsidRPr="00A40E27">
              <w:rPr>
                <w:sz w:val="20"/>
                <w:szCs w:val="20"/>
              </w:rPr>
              <w:t xml:space="preserve">= Total Liabilities/Total Assets </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r w:rsidRPr="00A40E27">
              <w:rPr>
                <w:sz w:val="20"/>
                <w:szCs w:val="20"/>
              </w:rPr>
              <w:t xml:space="preserve"> </w:t>
            </w:r>
          </w:p>
        </w:tc>
      </w:tr>
      <w:tr w:rsidR="00A44F5C" w:rsidRPr="00A40E27" w:rsidTr="00714358">
        <w:trPr>
          <w:trHeight w:val="109"/>
        </w:trPr>
        <w:tc>
          <w:tcPr>
            <w:tcW w:w="2268" w:type="dxa"/>
          </w:tcPr>
          <w:p w:rsidR="00A44F5C" w:rsidRPr="00A40E27" w:rsidRDefault="00A44F5C" w:rsidP="00714358">
            <w:pPr>
              <w:pStyle w:val="Default"/>
              <w:rPr>
                <w:sz w:val="20"/>
                <w:szCs w:val="20"/>
              </w:rPr>
            </w:pPr>
            <w:proofErr w:type="spellStart"/>
            <w:r>
              <w:rPr>
                <w:sz w:val="20"/>
                <w:szCs w:val="20"/>
              </w:rPr>
              <w:t>log_</w:t>
            </w:r>
            <w:r w:rsidRPr="00A40E27">
              <w:rPr>
                <w:sz w:val="20"/>
                <w:szCs w:val="20"/>
              </w:rPr>
              <w:t>mn_bidask</w:t>
            </w:r>
            <w:proofErr w:type="spellEnd"/>
          </w:p>
        </w:tc>
        <w:tc>
          <w:tcPr>
            <w:tcW w:w="7020" w:type="dxa"/>
          </w:tcPr>
          <w:p w:rsidR="00A44F5C" w:rsidRPr="00A40E27" w:rsidRDefault="00A44F5C" w:rsidP="00714358">
            <w:pPr>
              <w:pStyle w:val="Default"/>
              <w:ind w:left="162" w:hanging="180"/>
              <w:rPr>
                <w:sz w:val="20"/>
                <w:szCs w:val="20"/>
              </w:rPr>
            </w:pPr>
            <w:r w:rsidRPr="00A40E27">
              <w:rPr>
                <w:sz w:val="20"/>
                <w:szCs w:val="20"/>
              </w:rPr>
              <w:t xml:space="preserve">= </w:t>
            </w:r>
            <w:r>
              <w:rPr>
                <w:sz w:val="20"/>
                <w:szCs w:val="20"/>
              </w:rPr>
              <w:t xml:space="preserve">a natural logarithm of the </w:t>
            </w:r>
            <w:r w:rsidRPr="00A40E27">
              <w:rPr>
                <w:sz w:val="20"/>
                <w:szCs w:val="20"/>
              </w:rPr>
              <w:t>mean bid-ask spread for a company in year t, calculated using the formula (</w:t>
            </w:r>
            <w:proofErr w:type="spellStart"/>
            <w:r w:rsidRPr="00A40E27">
              <w:rPr>
                <w:sz w:val="20"/>
                <w:szCs w:val="20"/>
              </w:rPr>
              <w:t>AskPrice</w:t>
            </w:r>
            <w:proofErr w:type="spellEnd"/>
            <w:r w:rsidRPr="00A40E27">
              <w:rPr>
                <w:sz w:val="20"/>
                <w:szCs w:val="20"/>
              </w:rPr>
              <w:t xml:space="preserve"> – </w:t>
            </w:r>
            <w:proofErr w:type="spellStart"/>
            <w:r w:rsidRPr="00A40E27">
              <w:rPr>
                <w:sz w:val="20"/>
                <w:szCs w:val="20"/>
              </w:rPr>
              <w:t>BidPrice</w:t>
            </w:r>
            <w:proofErr w:type="spellEnd"/>
            <w:r w:rsidRPr="00A40E27">
              <w:rPr>
                <w:sz w:val="20"/>
                <w:szCs w:val="20"/>
              </w:rPr>
              <w:t>)/((</w:t>
            </w:r>
            <w:proofErr w:type="spellStart"/>
            <w:r w:rsidRPr="00A40E27">
              <w:rPr>
                <w:sz w:val="20"/>
                <w:szCs w:val="20"/>
              </w:rPr>
              <w:t>AskPrice+BidPrice</w:t>
            </w:r>
            <w:proofErr w:type="spellEnd"/>
            <w:r w:rsidRPr="00A40E27">
              <w:rPr>
                <w:sz w:val="20"/>
                <w:szCs w:val="20"/>
              </w:rPr>
              <w:t>)/2)</w:t>
            </w:r>
          </w:p>
        </w:tc>
        <w:tc>
          <w:tcPr>
            <w:tcW w:w="1710" w:type="dxa"/>
          </w:tcPr>
          <w:p w:rsidR="00A44F5C" w:rsidRPr="00A40E27" w:rsidRDefault="00A44F5C" w:rsidP="00714358">
            <w:pPr>
              <w:pStyle w:val="Default"/>
              <w:rPr>
                <w:sz w:val="20"/>
                <w:szCs w:val="20"/>
              </w:rPr>
            </w:pPr>
            <w:proofErr w:type="spellStart"/>
            <w:r w:rsidRPr="00A40E27">
              <w:rPr>
                <w:sz w:val="20"/>
                <w:szCs w:val="20"/>
              </w:rPr>
              <w:t>Datastream</w:t>
            </w:r>
            <w:proofErr w:type="spellEnd"/>
          </w:p>
        </w:tc>
      </w:tr>
      <w:tr w:rsidR="00A44F5C" w:rsidRPr="00A40E27" w:rsidTr="00714358">
        <w:trPr>
          <w:trHeight w:val="109"/>
        </w:trPr>
        <w:tc>
          <w:tcPr>
            <w:tcW w:w="2268" w:type="dxa"/>
          </w:tcPr>
          <w:p w:rsidR="00A44F5C" w:rsidRPr="00A40E27" w:rsidRDefault="00A44F5C" w:rsidP="00714358">
            <w:pPr>
              <w:pStyle w:val="Default"/>
              <w:rPr>
                <w:sz w:val="20"/>
                <w:szCs w:val="20"/>
              </w:rPr>
            </w:pPr>
            <w:proofErr w:type="spellStart"/>
            <w:r>
              <w:rPr>
                <w:sz w:val="20"/>
                <w:szCs w:val="20"/>
              </w:rPr>
              <w:t>NI</w:t>
            </w:r>
            <w:r w:rsidRPr="00A40E27">
              <w:rPr>
                <w:sz w:val="20"/>
                <w:szCs w:val="20"/>
              </w:rPr>
              <w:t>_</w:t>
            </w:r>
            <w:r>
              <w:rPr>
                <w:sz w:val="20"/>
                <w:szCs w:val="20"/>
              </w:rPr>
              <w:t>A</w:t>
            </w:r>
            <w:r w:rsidRPr="00A40E27">
              <w:rPr>
                <w:sz w:val="20"/>
                <w:szCs w:val="20"/>
              </w:rPr>
              <w:t>ssets</w:t>
            </w:r>
            <w:proofErr w:type="spellEnd"/>
          </w:p>
        </w:tc>
        <w:tc>
          <w:tcPr>
            <w:tcW w:w="7020" w:type="dxa"/>
          </w:tcPr>
          <w:p w:rsidR="00A44F5C" w:rsidRPr="00A40E27" w:rsidRDefault="00A44F5C" w:rsidP="00714358">
            <w:pPr>
              <w:pStyle w:val="Default"/>
              <w:rPr>
                <w:sz w:val="20"/>
                <w:szCs w:val="20"/>
              </w:rPr>
            </w:pPr>
            <w:r w:rsidRPr="00A40E27">
              <w:rPr>
                <w:sz w:val="20"/>
                <w:szCs w:val="20"/>
              </w:rPr>
              <w:t>= Net Income/Total Assets</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714358">
        <w:trPr>
          <w:trHeight w:val="109"/>
        </w:trPr>
        <w:tc>
          <w:tcPr>
            <w:tcW w:w="2268" w:type="dxa"/>
          </w:tcPr>
          <w:p w:rsidR="00A44F5C" w:rsidRDefault="00A44F5C" w:rsidP="00714358">
            <w:pPr>
              <w:pStyle w:val="Default"/>
              <w:rPr>
                <w:sz w:val="20"/>
                <w:szCs w:val="20"/>
              </w:rPr>
            </w:pPr>
            <w:proofErr w:type="spellStart"/>
            <w:r>
              <w:rPr>
                <w:sz w:val="20"/>
                <w:szCs w:val="20"/>
              </w:rPr>
              <w:t>NegRet</w:t>
            </w:r>
            <w:proofErr w:type="spellEnd"/>
          </w:p>
        </w:tc>
        <w:tc>
          <w:tcPr>
            <w:tcW w:w="7020" w:type="dxa"/>
          </w:tcPr>
          <w:p w:rsidR="00A44F5C" w:rsidRDefault="00A44F5C" w:rsidP="00714358">
            <w:pPr>
              <w:pStyle w:val="Default"/>
              <w:ind w:left="162" w:hanging="180"/>
              <w:rPr>
                <w:sz w:val="20"/>
                <w:szCs w:val="20"/>
              </w:rPr>
            </w:pPr>
            <w:r>
              <w:rPr>
                <w:sz w:val="20"/>
                <w:szCs w:val="20"/>
              </w:rPr>
              <w:t>= dummy variable equal to 1 if annual return is less than zero, and zero otherwise</w:t>
            </w:r>
          </w:p>
        </w:tc>
        <w:tc>
          <w:tcPr>
            <w:tcW w:w="1710" w:type="dxa"/>
          </w:tcPr>
          <w:p w:rsidR="00A44F5C" w:rsidRPr="00A40E27" w:rsidRDefault="00A44F5C" w:rsidP="00714358">
            <w:pPr>
              <w:pStyle w:val="Default"/>
              <w:rPr>
                <w:sz w:val="20"/>
                <w:szCs w:val="20"/>
              </w:rPr>
            </w:pPr>
            <w:proofErr w:type="spellStart"/>
            <w:r>
              <w:rPr>
                <w:sz w:val="20"/>
                <w:szCs w:val="20"/>
              </w:rPr>
              <w:t>Datastream</w:t>
            </w:r>
            <w:proofErr w:type="spellEnd"/>
          </w:p>
        </w:tc>
      </w:tr>
      <w:tr w:rsidR="00A44F5C" w:rsidRPr="00A40E27" w:rsidTr="00714358">
        <w:trPr>
          <w:trHeight w:val="109"/>
        </w:trPr>
        <w:tc>
          <w:tcPr>
            <w:tcW w:w="2268" w:type="dxa"/>
          </w:tcPr>
          <w:p w:rsidR="00A44F5C" w:rsidRDefault="00A44F5C" w:rsidP="00714358">
            <w:pPr>
              <w:pStyle w:val="Default"/>
              <w:rPr>
                <w:sz w:val="20"/>
                <w:szCs w:val="20"/>
              </w:rPr>
            </w:pPr>
            <w:r>
              <w:rPr>
                <w:sz w:val="20"/>
                <w:szCs w:val="20"/>
              </w:rPr>
              <w:t>Non-segment</w:t>
            </w:r>
          </w:p>
        </w:tc>
        <w:tc>
          <w:tcPr>
            <w:tcW w:w="7020" w:type="dxa"/>
          </w:tcPr>
          <w:p w:rsidR="00A44F5C" w:rsidRPr="00A40E27" w:rsidRDefault="00A44F5C" w:rsidP="00714358">
            <w:pPr>
              <w:pStyle w:val="Default"/>
              <w:ind w:left="162" w:hanging="180"/>
              <w:rPr>
                <w:sz w:val="20"/>
                <w:szCs w:val="20"/>
              </w:rPr>
            </w:pPr>
            <w:r>
              <w:rPr>
                <w:sz w:val="20"/>
                <w:szCs w:val="20"/>
              </w:rPr>
              <w:t>= dummy variable equal to 1 if a company is not included in the NextPrime or NextEconomy segments during any year of the sample period</w:t>
            </w:r>
          </w:p>
        </w:tc>
        <w:tc>
          <w:tcPr>
            <w:tcW w:w="1710" w:type="dxa"/>
          </w:tcPr>
          <w:p w:rsidR="00A44F5C" w:rsidRPr="00A40E27" w:rsidRDefault="00A44F5C" w:rsidP="00714358">
            <w:pPr>
              <w:pStyle w:val="Default"/>
              <w:rPr>
                <w:sz w:val="20"/>
                <w:szCs w:val="20"/>
              </w:rPr>
            </w:pPr>
            <w:r w:rsidRPr="00A40E27">
              <w:rPr>
                <w:sz w:val="20"/>
                <w:szCs w:val="20"/>
              </w:rPr>
              <w:t>Euronext*</w:t>
            </w:r>
          </w:p>
        </w:tc>
      </w:tr>
      <w:tr w:rsidR="00A44F5C" w:rsidRPr="00A40E27" w:rsidTr="00714358">
        <w:trPr>
          <w:trHeight w:val="109"/>
        </w:trPr>
        <w:tc>
          <w:tcPr>
            <w:tcW w:w="2268" w:type="dxa"/>
          </w:tcPr>
          <w:p w:rsidR="00A44F5C" w:rsidRPr="00A40E27" w:rsidRDefault="00A44F5C" w:rsidP="00714358">
            <w:pPr>
              <w:pStyle w:val="Default"/>
              <w:rPr>
                <w:sz w:val="20"/>
                <w:szCs w:val="20"/>
              </w:rPr>
            </w:pPr>
            <w:proofErr w:type="spellStart"/>
            <w:r>
              <w:rPr>
                <w:sz w:val="20"/>
                <w:szCs w:val="20"/>
              </w:rPr>
              <w:t>OCF</w:t>
            </w:r>
            <w:r w:rsidRPr="00A40E27">
              <w:rPr>
                <w:sz w:val="20"/>
                <w:szCs w:val="20"/>
              </w:rPr>
              <w:t>_</w:t>
            </w:r>
            <w:r>
              <w:rPr>
                <w:sz w:val="20"/>
                <w:szCs w:val="20"/>
              </w:rPr>
              <w:t>A</w:t>
            </w:r>
            <w:r w:rsidRPr="00A40E27">
              <w:rPr>
                <w:sz w:val="20"/>
                <w:szCs w:val="20"/>
              </w:rPr>
              <w:t>ssets</w:t>
            </w:r>
            <w:proofErr w:type="spellEnd"/>
          </w:p>
        </w:tc>
        <w:tc>
          <w:tcPr>
            <w:tcW w:w="7020" w:type="dxa"/>
          </w:tcPr>
          <w:p w:rsidR="00A44F5C" w:rsidRPr="00A40E27" w:rsidRDefault="00A44F5C" w:rsidP="00714358">
            <w:pPr>
              <w:pStyle w:val="Default"/>
              <w:rPr>
                <w:sz w:val="20"/>
                <w:szCs w:val="20"/>
              </w:rPr>
            </w:pPr>
            <w:r w:rsidRPr="00A40E27">
              <w:rPr>
                <w:sz w:val="20"/>
                <w:szCs w:val="20"/>
              </w:rPr>
              <w:t>= Operating Cash Flows/Total Assets</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714358">
        <w:trPr>
          <w:trHeight w:val="109"/>
        </w:trPr>
        <w:tc>
          <w:tcPr>
            <w:tcW w:w="2268" w:type="dxa"/>
          </w:tcPr>
          <w:p w:rsidR="00A44F5C" w:rsidRPr="00A40E27" w:rsidRDefault="00A44F5C" w:rsidP="00714358">
            <w:pPr>
              <w:pStyle w:val="Default"/>
              <w:rPr>
                <w:sz w:val="20"/>
                <w:szCs w:val="20"/>
              </w:rPr>
            </w:pPr>
            <w:proofErr w:type="spellStart"/>
            <w:r w:rsidRPr="00A40E27">
              <w:rPr>
                <w:sz w:val="20"/>
                <w:szCs w:val="20"/>
              </w:rPr>
              <w:t>perc_zeroret</w:t>
            </w:r>
            <w:proofErr w:type="spellEnd"/>
          </w:p>
        </w:tc>
        <w:tc>
          <w:tcPr>
            <w:tcW w:w="7020" w:type="dxa"/>
          </w:tcPr>
          <w:p w:rsidR="00A44F5C" w:rsidRPr="00A40E27" w:rsidRDefault="00A44F5C" w:rsidP="00714358">
            <w:pPr>
              <w:pStyle w:val="Default"/>
              <w:rPr>
                <w:sz w:val="20"/>
                <w:szCs w:val="20"/>
              </w:rPr>
            </w:pPr>
            <w:r w:rsidRPr="00A40E27">
              <w:rPr>
                <w:sz w:val="20"/>
                <w:szCs w:val="20"/>
              </w:rPr>
              <w:t>= percentage of trading days with zero returns in year t</w:t>
            </w:r>
          </w:p>
        </w:tc>
        <w:tc>
          <w:tcPr>
            <w:tcW w:w="1710" w:type="dxa"/>
          </w:tcPr>
          <w:p w:rsidR="00A44F5C" w:rsidRPr="00A40E27" w:rsidRDefault="00A44F5C" w:rsidP="00714358">
            <w:pPr>
              <w:pStyle w:val="Default"/>
              <w:rPr>
                <w:sz w:val="20"/>
                <w:szCs w:val="20"/>
              </w:rPr>
            </w:pPr>
            <w:proofErr w:type="spellStart"/>
            <w:r w:rsidRPr="00A40E27">
              <w:rPr>
                <w:sz w:val="20"/>
                <w:szCs w:val="20"/>
              </w:rPr>
              <w:t>Datastream</w:t>
            </w:r>
            <w:proofErr w:type="spellEnd"/>
          </w:p>
        </w:tc>
      </w:tr>
      <w:tr w:rsidR="00A44F5C" w:rsidRPr="00A40E27" w:rsidTr="00714358">
        <w:trPr>
          <w:trHeight w:val="404"/>
        </w:trPr>
        <w:tc>
          <w:tcPr>
            <w:tcW w:w="2268" w:type="dxa"/>
          </w:tcPr>
          <w:p w:rsidR="00A44F5C" w:rsidRPr="00A40E27" w:rsidRDefault="00A44F5C" w:rsidP="00714358">
            <w:pPr>
              <w:pStyle w:val="Default"/>
              <w:rPr>
                <w:sz w:val="20"/>
                <w:szCs w:val="20"/>
              </w:rPr>
            </w:pPr>
            <w:r>
              <w:rPr>
                <w:sz w:val="20"/>
                <w:szCs w:val="20"/>
              </w:rPr>
              <w:t>Post-Merger</w:t>
            </w:r>
          </w:p>
        </w:tc>
        <w:tc>
          <w:tcPr>
            <w:tcW w:w="7020" w:type="dxa"/>
          </w:tcPr>
          <w:p w:rsidR="00A44F5C" w:rsidRPr="00A40E27" w:rsidRDefault="00A44F5C" w:rsidP="00714358">
            <w:pPr>
              <w:pStyle w:val="Default"/>
              <w:ind w:left="162" w:hanging="162"/>
              <w:rPr>
                <w:sz w:val="20"/>
                <w:szCs w:val="20"/>
              </w:rPr>
            </w:pPr>
            <w:r w:rsidRPr="00A40E27">
              <w:rPr>
                <w:sz w:val="20"/>
                <w:szCs w:val="20"/>
              </w:rPr>
              <w:t>=  dummy variable equal to 1 for the year in which the exchange joins Euronext and all the years thereafter</w:t>
            </w:r>
            <w:r w:rsidRPr="00A40E27">
              <w:rPr>
                <w:sz w:val="20"/>
                <w:szCs w:val="20"/>
                <w:vertAlign w:val="superscript"/>
              </w:rPr>
              <w:t xml:space="preserve">¥ </w:t>
            </w:r>
          </w:p>
        </w:tc>
        <w:tc>
          <w:tcPr>
            <w:tcW w:w="1710" w:type="dxa"/>
          </w:tcPr>
          <w:p w:rsidR="00A44F5C" w:rsidRPr="00A40E27" w:rsidRDefault="00A44F5C" w:rsidP="00714358">
            <w:pPr>
              <w:pStyle w:val="Default"/>
              <w:rPr>
                <w:sz w:val="20"/>
                <w:szCs w:val="20"/>
              </w:rPr>
            </w:pPr>
            <w:r w:rsidRPr="00A40E27">
              <w:rPr>
                <w:sz w:val="20"/>
                <w:szCs w:val="20"/>
              </w:rPr>
              <w:t xml:space="preserve">n/a </w:t>
            </w:r>
          </w:p>
        </w:tc>
      </w:tr>
      <w:tr w:rsidR="00A44F5C" w:rsidRPr="00A40E27" w:rsidTr="00714358">
        <w:trPr>
          <w:trHeight w:val="247"/>
        </w:trPr>
        <w:tc>
          <w:tcPr>
            <w:tcW w:w="2268" w:type="dxa"/>
          </w:tcPr>
          <w:p w:rsidR="00A44F5C" w:rsidRPr="007B6303" w:rsidRDefault="00A44F5C" w:rsidP="00714358">
            <w:pPr>
              <w:pStyle w:val="Default"/>
              <w:rPr>
                <w:sz w:val="20"/>
                <w:szCs w:val="20"/>
              </w:rPr>
            </w:pPr>
            <w:proofErr w:type="spellStart"/>
            <w:r>
              <w:rPr>
                <w:sz w:val="20"/>
                <w:szCs w:val="20"/>
              </w:rPr>
              <w:t>Qtrly</w:t>
            </w:r>
            <w:proofErr w:type="spellEnd"/>
          </w:p>
        </w:tc>
        <w:tc>
          <w:tcPr>
            <w:tcW w:w="7020" w:type="dxa"/>
          </w:tcPr>
          <w:p w:rsidR="00A44F5C" w:rsidRPr="00A40E27" w:rsidRDefault="00A44F5C" w:rsidP="00714358">
            <w:pPr>
              <w:pStyle w:val="Default"/>
              <w:rPr>
                <w:sz w:val="20"/>
                <w:szCs w:val="20"/>
              </w:rPr>
            </w:pPr>
            <w:r>
              <w:rPr>
                <w:sz w:val="20"/>
                <w:szCs w:val="20"/>
              </w:rPr>
              <w:t>= dummy variable equal to 1 if the company provides quarterly financial reports</w:t>
            </w:r>
          </w:p>
        </w:tc>
        <w:tc>
          <w:tcPr>
            <w:tcW w:w="1710" w:type="dxa"/>
          </w:tcPr>
          <w:p w:rsidR="00A44F5C" w:rsidRPr="00A40E27" w:rsidRDefault="00A44F5C" w:rsidP="00714358">
            <w:pPr>
              <w:pStyle w:val="Default"/>
              <w:rPr>
                <w:sz w:val="20"/>
                <w:szCs w:val="20"/>
              </w:rPr>
            </w:pPr>
            <w:r>
              <w:rPr>
                <w:sz w:val="20"/>
                <w:szCs w:val="20"/>
              </w:rPr>
              <w:t>Hand-collected</w:t>
            </w:r>
          </w:p>
        </w:tc>
      </w:tr>
      <w:tr w:rsidR="00A44F5C" w:rsidRPr="00A40E27" w:rsidTr="00714358">
        <w:trPr>
          <w:trHeight w:val="247"/>
        </w:trPr>
        <w:tc>
          <w:tcPr>
            <w:tcW w:w="2268" w:type="dxa"/>
          </w:tcPr>
          <w:p w:rsidR="00A44F5C" w:rsidRPr="00A40E27" w:rsidRDefault="00A44F5C" w:rsidP="00714358">
            <w:pPr>
              <w:pStyle w:val="Default"/>
              <w:rPr>
                <w:sz w:val="20"/>
                <w:szCs w:val="20"/>
              </w:rPr>
            </w:pPr>
            <w:proofErr w:type="spellStart"/>
            <w:r>
              <w:rPr>
                <w:sz w:val="20"/>
                <w:szCs w:val="20"/>
              </w:rPr>
              <w:t>r</w:t>
            </w:r>
            <w:r w:rsidRPr="00A40E27">
              <w:rPr>
                <w:sz w:val="20"/>
                <w:szCs w:val="20"/>
              </w:rPr>
              <w:t>et_std</w:t>
            </w:r>
            <w:proofErr w:type="spellEnd"/>
          </w:p>
        </w:tc>
        <w:tc>
          <w:tcPr>
            <w:tcW w:w="7020" w:type="dxa"/>
          </w:tcPr>
          <w:p w:rsidR="00A44F5C" w:rsidRPr="00A40E27" w:rsidRDefault="00A44F5C" w:rsidP="00714358">
            <w:pPr>
              <w:pStyle w:val="Default"/>
              <w:rPr>
                <w:sz w:val="20"/>
                <w:szCs w:val="20"/>
              </w:rPr>
            </w:pPr>
            <w:r w:rsidRPr="00A40E27">
              <w:rPr>
                <w:sz w:val="20"/>
                <w:szCs w:val="20"/>
              </w:rPr>
              <w:t>=  standard deviation of daily stock returns at year t</w:t>
            </w:r>
          </w:p>
        </w:tc>
        <w:tc>
          <w:tcPr>
            <w:tcW w:w="1710" w:type="dxa"/>
          </w:tcPr>
          <w:p w:rsidR="00A44F5C" w:rsidRPr="00A40E27" w:rsidRDefault="00A44F5C" w:rsidP="00714358">
            <w:pPr>
              <w:pStyle w:val="Default"/>
              <w:rPr>
                <w:sz w:val="20"/>
                <w:szCs w:val="20"/>
              </w:rPr>
            </w:pPr>
            <w:proofErr w:type="spellStart"/>
            <w:r w:rsidRPr="00A40E27">
              <w:rPr>
                <w:sz w:val="20"/>
                <w:szCs w:val="20"/>
              </w:rPr>
              <w:t>Datastream</w:t>
            </w:r>
            <w:proofErr w:type="spellEnd"/>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Return</w:t>
            </w:r>
          </w:p>
        </w:tc>
        <w:tc>
          <w:tcPr>
            <w:tcW w:w="7020" w:type="dxa"/>
          </w:tcPr>
          <w:p w:rsidR="00A44F5C" w:rsidRPr="00A40E27" w:rsidRDefault="00A44F5C" w:rsidP="00714358">
            <w:pPr>
              <w:pStyle w:val="Default"/>
              <w:ind w:left="162" w:hanging="162"/>
              <w:rPr>
                <w:sz w:val="20"/>
                <w:szCs w:val="20"/>
              </w:rPr>
            </w:pPr>
            <w:r w:rsidRPr="00A40E27">
              <w:rPr>
                <w:sz w:val="20"/>
                <w:szCs w:val="20"/>
              </w:rPr>
              <w:t>= (Stock Price at the end of year t + Dividends for year t–Stock Price at the beginning of year t)/ Stock Price at the beginning of year t</w:t>
            </w:r>
          </w:p>
        </w:tc>
        <w:tc>
          <w:tcPr>
            <w:tcW w:w="1710" w:type="dxa"/>
          </w:tcPr>
          <w:p w:rsidR="00A44F5C" w:rsidRPr="00A40E27" w:rsidRDefault="00A44F5C" w:rsidP="00714358">
            <w:pPr>
              <w:pStyle w:val="Default"/>
              <w:rPr>
                <w:sz w:val="20"/>
                <w:szCs w:val="20"/>
              </w:rPr>
            </w:pPr>
            <w:proofErr w:type="spellStart"/>
            <w:r w:rsidRPr="00A40E27">
              <w:rPr>
                <w:sz w:val="20"/>
                <w:szCs w:val="20"/>
              </w:rPr>
              <w:t>Datastream</w:t>
            </w:r>
            <w:proofErr w:type="spellEnd"/>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Sales Growth</w:t>
            </w:r>
          </w:p>
        </w:tc>
        <w:tc>
          <w:tcPr>
            <w:tcW w:w="7020" w:type="dxa"/>
          </w:tcPr>
          <w:p w:rsidR="00A44F5C" w:rsidRPr="00A40E27" w:rsidRDefault="00A44F5C" w:rsidP="00714358">
            <w:pPr>
              <w:pStyle w:val="Default"/>
              <w:rPr>
                <w:sz w:val="20"/>
                <w:szCs w:val="20"/>
              </w:rPr>
            </w:pPr>
            <w:r w:rsidRPr="00A40E27">
              <w:rPr>
                <w:sz w:val="20"/>
                <w:szCs w:val="20"/>
              </w:rPr>
              <w:t>= (Sales at year t – Sales at year t-1) / Sales at year t</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714358">
        <w:trPr>
          <w:trHeight w:val="523"/>
        </w:trPr>
        <w:tc>
          <w:tcPr>
            <w:tcW w:w="2268" w:type="dxa"/>
          </w:tcPr>
          <w:p w:rsidR="00A44F5C" w:rsidRPr="00A40E27" w:rsidRDefault="00A44F5C" w:rsidP="00714358">
            <w:pPr>
              <w:pStyle w:val="Default"/>
              <w:rPr>
                <w:sz w:val="20"/>
                <w:szCs w:val="20"/>
              </w:rPr>
            </w:pPr>
            <w:r w:rsidRPr="00A40E27">
              <w:rPr>
                <w:sz w:val="20"/>
                <w:szCs w:val="20"/>
              </w:rPr>
              <w:t xml:space="preserve">Segment </w:t>
            </w:r>
          </w:p>
        </w:tc>
        <w:tc>
          <w:tcPr>
            <w:tcW w:w="7020" w:type="dxa"/>
          </w:tcPr>
          <w:p w:rsidR="00A44F5C" w:rsidRPr="00A40E27" w:rsidRDefault="00A44F5C" w:rsidP="00714358">
            <w:pPr>
              <w:pStyle w:val="Default"/>
              <w:ind w:left="162" w:hanging="180"/>
              <w:rPr>
                <w:sz w:val="20"/>
                <w:szCs w:val="20"/>
              </w:rPr>
            </w:pPr>
            <w:r w:rsidRPr="00A40E27">
              <w:rPr>
                <w:sz w:val="20"/>
                <w:szCs w:val="20"/>
              </w:rPr>
              <w:t xml:space="preserve">= dummy variable equal to 1 if a company is included in the NextPrime or NextEconomy segments during any year of the sample period </w:t>
            </w:r>
          </w:p>
        </w:tc>
        <w:tc>
          <w:tcPr>
            <w:tcW w:w="1710" w:type="dxa"/>
          </w:tcPr>
          <w:p w:rsidR="00A44F5C" w:rsidRPr="00A40E27" w:rsidRDefault="00A44F5C" w:rsidP="00714358">
            <w:pPr>
              <w:pStyle w:val="Default"/>
              <w:rPr>
                <w:sz w:val="20"/>
                <w:szCs w:val="20"/>
              </w:rPr>
            </w:pPr>
            <w:r w:rsidRPr="00A40E27">
              <w:rPr>
                <w:sz w:val="20"/>
                <w:szCs w:val="20"/>
              </w:rPr>
              <w:t xml:space="preserve">Euronext* </w:t>
            </w:r>
          </w:p>
        </w:tc>
      </w:tr>
      <w:tr w:rsidR="00A44F5C" w:rsidRPr="00A40E27" w:rsidTr="00714358">
        <w:trPr>
          <w:trHeight w:val="288"/>
        </w:trPr>
        <w:tc>
          <w:tcPr>
            <w:tcW w:w="2268" w:type="dxa"/>
          </w:tcPr>
          <w:p w:rsidR="00A44F5C" w:rsidRPr="00A40E27" w:rsidRDefault="00A44F5C" w:rsidP="00714358">
            <w:pPr>
              <w:pStyle w:val="Default"/>
              <w:rPr>
                <w:sz w:val="20"/>
                <w:szCs w:val="20"/>
              </w:rPr>
            </w:pPr>
            <w:r>
              <w:rPr>
                <w:sz w:val="20"/>
                <w:szCs w:val="20"/>
              </w:rPr>
              <w:t>Size</w:t>
            </w:r>
          </w:p>
        </w:tc>
        <w:tc>
          <w:tcPr>
            <w:tcW w:w="7020" w:type="dxa"/>
          </w:tcPr>
          <w:p w:rsidR="00A44F5C" w:rsidRPr="00A40E27" w:rsidRDefault="00A44F5C" w:rsidP="00714358">
            <w:pPr>
              <w:jc w:val="both"/>
              <w:rPr>
                <w:sz w:val="20"/>
                <w:szCs w:val="20"/>
              </w:rPr>
            </w:pPr>
            <w:r w:rsidRPr="00A40E27">
              <w:rPr>
                <w:sz w:val="20"/>
                <w:szCs w:val="20"/>
              </w:rPr>
              <w:t>=  the logarithm of year-end Market Value</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6E74DC">
        <w:trPr>
          <w:trHeight w:val="275"/>
        </w:trPr>
        <w:tc>
          <w:tcPr>
            <w:tcW w:w="2268" w:type="dxa"/>
          </w:tcPr>
          <w:p w:rsidR="00A44F5C" w:rsidRPr="00A40E27" w:rsidRDefault="00A44F5C" w:rsidP="00714358">
            <w:pPr>
              <w:pStyle w:val="Default"/>
              <w:rPr>
                <w:sz w:val="20"/>
                <w:szCs w:val="20"/>
              </w:rPr>
            </w:pPr>
            <w:r w:rsidRPr="00A40E27">
              <w:rPr>
                <w:sz w:val="20"/>
                <w:szCs w:val="20"/>
              </w:rPr>
              <w:t>Turn</w:t>
            </w:r>
          </w:p>
        </w:tc>
        <w:tc>
          <w:tcPr>
            <w:tcW w:w="7020" w:type="dxa"/>
          </w:tcPr>
          <w:p w:rsidR="00A44F5C" w:rsidRPr="00A40E27" w:rsidRDefault="00A44F5C" w:rsidP="00714358">
            <w:pPr>
              <w:rPr>
                <w:sz w:val="20"/>
                <w:szCs w:val="20"/>
              </w:rPr>
            </w:pPr>
            <w:r w:rsidRPr="00A40E27">
              <w:rPr>
                <w:sz w:val="20"/>
                <w:szCs w:val="20"/>
              </w:rPr>
              <w:t>=  Sales at year t / Total Assets at year t</w:t>
            </w:r>
          </w:p>
        </w:tc>
        <w:tc>
          <w:tcPr>
            <w:tcW w:w="1710" w:type="dxa"/>
          </w:tcPr>
          <w:p w:rsidR="00A44F5C" w:rsidRPr="00A40E27" w:rsidRDefault="00A44F5C" w:rsidP="00714358">
            <w:pPr>
              <w:pStyle w:val="Default"/>
              <w:rPr>
                <w:sz w:val="20"/>
                <w:szCs w:val="20"/>
              </w:rPr>
            </w:pPr>
            <w:proofErr w:type="spellStart"/>
            <w:r w:rsidRPr="00A40E27">
              <w:rPr>
                <w:sz w:val="20"/>
                <w:szCs w:val="20"/>
              </w:rPr>
              <w:t>Worldscope</w:t>
            </w:r>
            <w:proofErr w:type="spellEnd"/>
          </w:p>
        </w:tc>
      </w:tr>
      <w:tr w:rsidR="00A44F5C" w:rsidRPr="00A40E27" w:rsidTr="00714358">
        <w:trPr>
          <w:trHeight w:val="247"/>
        </w:trPr>
        <w:tc>
          <w:tcPr>
            <w:tcW w:w="2268" w:type="dxa"/>
          </w:tcPr>
          <w:p w:rsidR="00A44F5C" w:rsidRPr="00A40E27" w:rsidRDefault="00A44F5C" w:rsidP="00714358">
            <w:pPr>
              <w:pStyle w:val="Default"/>
              <w:rPr>
                <w:sz w:val="20"/>
                <w:szCs w:val="20"/>
              </w:rPr>
            </w:pPr>
            <w:r w:rsidRPr="00A40E27">
              <w:rPr>
                <w:sz w:val="20"/>
                <w:szCs w:val="20"/>
              </w:rPr>
              <w:t>USCROSSLISTED</w:t>
            </w:r>
          </w:p>
        </w:tc>
        <w:tc>
          <w:tcPr>
            <w:tcW w:w="7020" w:type="dxa"/>
          </w:tcPr>
          <w:p w:rsidR="00A44F5C" w:rsidRPr="00A40E27" w:rsidRDefault="00A44F5C" w:rsidP="00714358">
            <w:pPr>
              <w:pStyle w:val="Default"/>
              <w:ind w:left="162" w:hanging="180"/>
              <w:rPr>
                <w:sz w:val="20"/>
                <w:szCs w:val="20"/>
              </w:rPr>
            </w:pPr>
            <w:r w:rsidRPr="00A40E27">
              <w:rPr>
                <w:sz w:val="20"/>
                <w:szCs w:val="20"/>
              </w:rPr>
              <w:t>= dummy variable equal to 1 if the company is cross-listed on the NYSE, NASDAQ or AMEX and 0 otherwise</w:t>
            </w:r>
          </w:p>
        </w:tc>
        <w:tc>
          <w:tcPr>
            <w:tcW w:w="1710" w:type="dxa"/>
          </w:tcPr>
          <w:p w:rsidR="00A44F5C" w:rsidRPr="00A40E27" w:rsidRDefault="00A44F5C" w:rsidP="00714358">
            <w:pPr>
              <w:pStyle w:val="Default"/>
              <w:rPr>
                <w:sz w:val="20"/>
                <w:szCs w:val="20"/>
              </w:rPr>
            </w:pPr>
            <w:r w:rsidRPr="00A40E27">
              <w:rPr>
                <w:sz w:val="20"/>
                <w:szCs w:val="20"/>
              </w:rPr>
              <w:t>ADR Databases</w:t>
            </w:r>
            <w:r w:rsidRPr="00A40E27">
              <w:rPr>
                <w:sz w:val="20"/>
                <w:szCs w:val="20"/>
                <w:vertAlign w:val="superscript"/>
              </w:rPr>
              <w:t>+</w:t>
            </w:r>
          </w:p>
        </w:tc>
      </w:tr>
      <w:tr w:rsidR="00A44F5C" w:rsidRPr="00A40E27" w:rsidTr="00714358">
        <w:trPr>
          <w:trHeight w:val="247"/>
        </w:trPr>
        <w:tc>
          <w:tcPr>
            <w:tcW w:w="2268" w:type="dxa"/>
          </w:tcPr>
          <w:p w:rsidR="00A44F5C" w:rsidRDefault="00A44F5C" w:rsidP="00714358">
            <w:pPr>
              <w:pStyle w:val="Default"/>
              <w:rPr>
                <w:sz w:val="20"/>
                <w:szCs w:val="20"/>
              </w:rPr>
            </w:pPr>
            <w:r>
              <w:rPr>
                <w:sz w:val="20"/>
                <w:szCs w:val="20"/>
              </w:rPr>
              <w:t>Website</w:t>
            </w:r>
          </w:p>
        </w:tc>
        <w:tc>
          <w:tcPr>
            <w:tcW w:w="7020" w:type="dxa"/>
          </w:tcPr>
          <w:p w:rsidR="00A44F5C" w:rsidRPr="00A40E27" w:rsidRDefault="00A44F5C" w:rsidP="00714358">
            <w:pPr>
              <w:pStyle w:val="Default"/>
              <w:rPr>
                <w:sz w:val="20"/>
                <w:szCs w:val="20"/>
              </w:rPr>
            </w:pPr>
            <w:r>
              <w:rPr>
                <w:sz w:val="20"/>
                <w:szCs w:val="20"/>
              </w:rPr>
              <w:t>= dummy variable equal to 1 if the company has a functional website</w:t>
            </w:r>
          </w:p>
        </w:tc>
        <w:tc>
          <w:tcPr>
            <w:tcW w:w="1710" w:type="dxa"/>
          </w:tcPr>
          <w:p w:rsidR="00A44F5C" w:rsidRPr="00A40E27" w:rsidRDefault="00A44F5C" w:rsidP="00714358">
            <w:pPr>
              <w:pStyle w:val="Default"/>
              <w:rPr>
                <w:sz w:val="20"/>
                <w:szCs w:val="20"/>
              </w:rPr>
            </w:pPr>
            <w:r>
              <w:rPr>
                <w:sz w:val="20"/>
                <w:szCs w:val="20"/>
              </w:rPr>
              <w:t>Hand-collected</w:t>
            </w:r>
          </w:p>
        </w:tc>
      </w:tr>
      <w:tr w:rsidR="00A44F5C" w:rsidRPr="00A40E27" w:rsidTr="00714358">
        <w:trPr>
          <w:trHeight w:val="205"/>
        </w:trPr>
        <w:tc>
          <w:tcPr>
            <w:tcW w:w="10998" w:type="dxa"/>
            <w:gridSpan w:val="3"/>
          </w:tcPr>
          <w:p w:rsidR="00A44F5C" w:rsidRPr="00A40E27" w:rsidRDefault="00A44F5C" w:rsidP="00714358">
            <w:pPr>
              <w:pStyle w:val="Default"/>
              <w:rPr>
                <w:sz w:val="20"/>
                <w:szCs w:val="20"/>
              </w:rPr>
            </w:pPr>
            <w:r w:rsidRPr="00A40E27">
              <w:rPr>
                <w:sz w:val="20"/>
                <w:szCs w:val="20"/>
              </w:rPr>
              <w:t>¥This year is 2002 for Paris, Brussels, and Amsterdam, and 2004 for Lisbon</w:t>
            </w:r>
          </w:p>
          <w:p w:rsidR="00A44F5C" w:rsidRPr="00A40E27" w:rsidRDefault="00A44F5C" w:rsidP="00714358">
            <w:pPr>
              <w:pStyle w:val="Default"/>
              <w:rPr>
                <w:sz w:val="20"/>
                <w:szCs w:val="20"/>
              </w:rPr>
            </w:pPr>
            <w:r w:rsidRPr="00A40E27">
              <w:rPr>
                <w:sz w:val="20"/>
                <w:szCs w:val="20"/>
              </w:rPr>
              <w:t xml:space="preserve">*Euronext is http://www.euronext.com/editorial/wide/editorial-20773-EN.html </w:t>
            </w:r>
          </w:p>
          <w:p w:rsidR="00A44F5C" w:rsidRPr="00A40E27" w:rsidRDefault="00A44F5C" w:rsidP="00714358">
            <w:pPr>
              <w:pStyle w:val="Default"/>
              <w:rPr>
                <w:sz w:val="20"/>
                <w:szCs w:val="20"/>
                <w:vertAlign w:val="superscript"/>
              </w:rPr>
            </w:pPr>
            <w:r w:rsidRPr="00A40E27">
              <w:rPr>
                <w:sz w:val="20"/>
                <w:szCs w:val="20"/>
                <w:vertAlign w:val="superscript"/>
              </w:rPr>
              <w:t xml:space="preserve">+ </w:t>
            </w:r>
            <w:r w:rsidRPr="00A40E27">
              <w:rPr>
                <w:sz w:val="20"/>
                <w:szCs w:val="20"/>
              </w:rPr>
              <w:t xml:space="preserve">ADR databases are the ADR database of J.P. Morgan, Bank of  NY Melon, and Citigroup </w:t>
            </w:r>
          </w:p>
        </w:tc>
      </w:tr>
    </w:tbl>
    <w:p w:rsidR="00A44F5C" w:rsidRPr="00A40E27" w:rsidRDefault="00A44F5C" w:rsidP="00A44F5C">
      <w:pPr>
        <w:autoSpaceDE w:val="0"/>
        <w:autoSpaceDN w:val="0"/>
        <w:adjustRightInd w:val="0"/>
        <w:rPr>
          <w:b/>
        </w:rPr>
      </w:pPr>
    </w:p>
    <w:p w:rsidR="00A44F5C" w:rsidRPr="00A40E27" w:rsidRDefault="00A44F5C" w:rsidP="00A44F5C">
      <w:pPr>
        <w:autoSpaceDE w:val="0"/>
        <w:autoSpaceDN w:val="0"/>
        <w:adjustRightInd w:val="0"/>
        <w:rPr>
          <w:b/>
        </w:rPr>
      </w:pPr>
    </w:p>
    <w:p w:rsidR="00A44F5C" w:rsidRDefault="00A44F5C" w:rsidP="00A44F5C">
      <w:pPr>
        <w:autoSpaceDE w:val="0"/>
        <w:autoSpaceDN w:val="0"/>
        <w:adjustRightInd w:val="0"/>
        <w:rPr>
          <w:b/>
          <w:color w:val="000000"/>
        </w:rPr>
      </w:pPr>
    </w:p>
    <w:p w:rsidR="00A44F5C" w:rsidRDefault="00A44F5C" w:rsidP="00A44F5C">
      <w:pPr>
        <w:autoSpaceDE w:val="0"/>
        <w:autoSpaceDN w:val="0"/>
        <w:adjustRightInd w:val="0"/>
        <w:rPr>
          <w:b/>
          <w:color w:val="000000"/>
        </w:rPr>
      </w:pPr>
    </w:p>
    <w:p w:rsidR="00A44F5C" w:rsidRPr="00A40E27" w:rsidRDefault="00A44F5C" w:rsidP="00A44F5C">
      <w:pPr>
        <w:autoSpaceDE w:val="0"/>
        <w:autoSpaceDN w:val="0"/>
        <w:adjustRightInd w:val="0"/>
        <w:rPr>
          <w:b/>
          <w:color w:val="000000"/>
        </w:rPr>
      </w:pPr>
    </w:p>
    <w:p w:rsidR="00C9694E" w:rsidRDefault="00C9694E" w:rsidP="00A44F5C">
      <w:pPr>
        <w:autoSpaceDE w:val="0"/>
        <w:autoSpaceDN w:val="0"/>
        <w:adjustRightInd w:val="0"/>
        <w:jc w:val="center"/>
        <w:rPr>
          <w:b/>
          <w:color w:val="000000"/>
        </w:rPr>
        <w:sectPr w:rsidR="00C9694E" w:rsidSect="00714358">
          <w:pgSz w:w="12240" w:h="15840"/>
          <w:pgMar w:top="1440" w:right="1170" w:bottom="1440" w:left="1440" w:header="720" w:footer="720" w:gutter="0"/>
          <w:cols w:space="720"/>
          <w:docGrid w:linePitch="360"/>
        </w:sectPr>
      </w:pPr>
    </w:p>
    <w:p w:rsidR="00A44F5C" w:rsidRDefault="00A44F5C" w:rsidP="00A44F5C">
      <w:pPr>
        <w:autoSpaceDE w:val="0"/>
        <w:autoSpaceDN w:val="0"/>
        <w:adjustRightInd w:val="0"/>
        <w:jc w:val="center"/>
        <w:rPr>
          <w:b/>
          <w:color w:val="000000"/>
        </w:rPr>
      </w:pPr>
      <w:r w:rsidRPr="00A40E27">
        <w:rPr>
          <w:b/>
          <w:color w:val="000000"/>
        </w:rPr>
        <w:lastRenderedPageBreak/>
        <w:t>Table 3: Sample selection and descriptive statistics</w:t>
      </w:r>
    </w:p>
    <w:p w:rsidR="00A44F5C" w:rsidRPr="00A40E27" w:rsidRDefault="00A44F5C" w:rsidP="00A44F5C">
      <w:pPr>
        <w:autoSpaceDE w:val="0"/>
        <w:autoSpaceDN w:val="0"/>
        <w:adjustRightInd w:val="0"/>
        <w:rPr>
          <w:b/>
        </w:rPr>
      </w:pPr>
      <w:r w:rsidRPr="00A40E27">
        <w:rPr>
          <w:b/>
        </w:rPr>
        <w:t xml:space="preserve">Panel A:  Sample </w:t>
      </w:r>
      <w:r w:rsidR="00C81DDE">
        <w:rPr>
          <w:b/>
        </w:rPr>
        <w:t>s</w:t>
      </w:r>
      <w:r w:rsidRPr="00A40E27">
        <w:rPr>
          <w:b/>
        </w:rPr>
        <w:t>election</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6858"/>
        <w:gridCol w:w="1360"/>
        <w:gridCol w:w="1358"/>
      </w:tblGrid>
      <w:tr w:rsidR="00A44F5C" w:rsidRPr="00A40E27" w:rsidTr="00467D6A">
        <w:trPr>
          <w:trHeight w:val="348"/>
          <w:jc w:val="center"/>
        </w:trPr>
        <w:tc>
          <w:tcPr>
            <w:tcW w:w="3581" w:type="pct"/>
            <w:tcBorders>
              <w:top w:val="single" w:sz="12" w:space="0" w:color="auto"/>
              <w:bottom w:val="single" w:sz="12" w:space="0" w:color="auto"/>
              <w:right w:val="nil"/>
            </w:tcBorders>
            <w:shd w:val="clear" w:color="auto" w:fill="auto"/>
            <w:noWrap/>
            <w:vAlign w:val="bottom"/>
            <w:hideMark/>
          </w:tcPr>
          <w:p w:rsidR="00A44F5C" w:rsidRPr="00A40E27" w:rsidRDefault="00A44F5C" w:rsidP="00714358">
            <w:pPr>
              <w:rPr>
                <w:b/>
                <w:color w:val="000000"/>
              </w:rPr>
            </w:pPr>
            <w:r w:rsidRPr="00A40E27">
              <w:rPr>
                <w:b/>
                <w:color w:val="000000"/>
              </w:rPr>
              <w:t>Sample</w:t>
            </w:r>
          </w:p>
        </w:tc>
        <w:tc>
          <w:tcPr>
            <w:tcW w:w="710"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E40115">
            <w:pPr>
              <w:rPr>
                <w:b/>
                <w:color w:val="000000"/>
              </w:rPr>
            </w:pPr>
            <w:r w:rsidRPr="00A40E27">
              <w:rPr>
                <w:b/>
                <w:color w:val="000000"/>
              </w:rPr>
              <w:t>Firm-</w:t>
            </w:r>
            <w:r w:rsidR="00E40115">
              <w:rPr>
                <w:b/>
                <w:color w:val="000000"/>
              </w:rPr>
              <w:t>Y</w:t>
            </w:r>
            <w:r w:rsidRPr="00A40E27">
              <w:rPr>
                <w:b/>
                <w:color w:val="000000"/>
              </w:rPr>
              <w:t>ear</w:t>
            </w:r>
          </w:p>
        </w:tc>
        <w:tc>
          <w:tcPr>
            <w:tcW w:w="710"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714358">
            <w:pPr>
              <w:jc w:val="right"/>
              <w:rPr>
                <w:b/>
                <w:color w:val="000000"/>
              </w:rPr>
            </w:pPr>
            <w:r w:rsidRPr="00A40E27">
              <w:rPr>
                <w:b/>
                <w:color w:val="000000"/>
              </w:rPr>
              <w:t>Firm</w:t>
            </w:r>
          </w:p>
        </w:tc>
      </w:tr>
      <w:tr w:rsidR="00A44F5C" w:rsidRPr="00A40E27" w:rsidTr="00467D6A">
        <w:trPr>
          <w:trHeight w:hRule="exact" w:val="317"/>
          <w:jc w:val="center"/>
        </w:trPr>
        <w:tc>
          <w:tcPr>
            <w:tcW w:w="3581" w:type="pct"/>
            <w:tcBorders>
              <w:top w:val="single" w:sz="12" w:space="0" w:color="auto"/>
              <w:bottom w:val="nil"/>
              <w:right w:val="nil"/>
            </w:tcBorders>
            <w:shd w:val="clear" w:color="auto" w:fill="auto"/>
            <w:noWrap/>
            <w:vAlign w:val="bottom"/>
            <w:hideMark/>
          </w:tcPr>
          <w:p w:rsidR="00A44F5C" w:rsidRPr="00A40E27" w:rsidRDefault="00A44F5C" w:rsidP="00714358">
            <w:pPr>
              <w:rPr>
                <w:rFonts w:eastAsia="Calibri"/>
              </w:rPr>
            </w:pPr>
            <w:r w:rsidRPr="00A40E27">
              <w:t xml:space="preserve">Firms with observations in </w:t>
            </w:r>
            <w:proofErr w:type="spellStart"/>
            <w:r w:rsidRPr="00A40E27">
              <w:t>Datastream</w:t>
            </w:r>
            <w:proofErr w:type="spellEnd"/>
            <w:r w:rsidRPr="00A40E27">
              <w:t xml:space="preserve"> and </w:t>
            </w:r>
            <w:proofErr w:type="spellStart"/>
            <w:r w:rsidRPr="00A40E27">
              <w:t>WorldScope</w:t>
            </w:r>
            <w:proofErr w:type="spellEnd"/>
            <w:r w:rsidRPr="00A40E27">
              <w:t xml:space="preserve"> 1993–2007 including:</w:t>
            </w:r>
          </w:p>
        </w:tc>
        <w:tc>
          <w:tcPr>
            <w:tcW w:w="710" w:type="pct"/>
            <w:tcBorders>
              <w:top w:val="single" w:sz="12" w:space="0" w:color="auto"/>
              <w:left w:val="nil"/>
              <w:bottom w:val="nil"/>
              <w:right w:val="nil"/>
            </w:tcBorders>
            <w:shd w:val="clear" w:color="auto" w:fill="auto"/>
            <w:noWrap/>
            <w:vAlign w:val="bottom"/>
            <w:hideMark/>
          </w:tcPr>
          <w:p w:rsidR="00A44F5C" w:rsidRPr="00A40E27" w:rsidRDefault="00A44F5C" w:rsidP="00714358">
            <w:pPr>
              <w:jc w:val="right"/>
              <w:rPr>
                <w:b/>
                <w:color w:val="000000"/>
              </w:rPr>
            </w:pPr>
            <w:r w:rsidRPr="00A40E27">
              <w:rPr>
                <w:b/>
                <w:color w:val="000000"/>
              </w:rPr>
              <w:t>8,622</w:t>
            </w:r>
          </w:p>
        </w:tc>
        <w:tc>
          <w:tcPr>
            <w:tcW w:w="710" w:type="pct"/>
            <w:tcBorders>
              <w:top w:val="single" w:sz="12" w:space="0" w:color="auto"/>
              <w:left w:val="nil"/>
              <w:bottom w:val="nil"/>
              <w:right w:val="nil"/>
            </w:tcBorders>
            <w:shd w:val="clear" w:color="auto" w:fill="auto"/>
            <w:noWrap/>
            <w:vAlign w:val="bottom"/>
            <w:hideMark/>
          </w:tcPr>
          <w:p w:rsidR="00A44F5C" w:rsidRPr="00A40E27" w:rsidRDefault="00A44F5C" w:rsidP="00714358">
            <w:pPr>
              <w:jc w:val="right"/>
              <w:rPr>
                <w:b/>
                <w:color w:val="000000"/>
              </w:rPr>
            </w:pPr>
            <w:r w:rsidRPr="00A40E27">
              <w:rPr>
                <w:b/>
                <w:color w:val="000000"/>
              </w:rPr>
              <w:t>1,058</w:t>
            </w:r>
          </w:p>
        </w:tc>
      </w:tr>
      <w:tr w:rsidR="00A44F5C" w:rsidRPr="00A40E27" w:rsidTr="00467D6A">
        <w:trPr>
          <w:trHeight w:hRule="exact" w:val="317"/>
          <w:jc w:val="center"/>
        </w:trPr>
        <w:tc>
          <w:tcPr>
            <w:tcW w:w="3581" w:type="pct"/>
            <w:tcBorders>
              <w:bottom w:val="nil"/>
              <w:right w:val="nil"/>
            </w:tcBorders>
            <w:shd w:val="clear" w:color="auto" w:fill="auto"/>
            <w:noWrap/>
            <w:vAlign w:val="bottom"/>
            <w:hideMark/>
          </w:tcPr>
          <w:p w:rsidR="00A44F5C" w:rsidRPr="00A40E27" w:rsidRDefault="00A44F5C" w:rsidP="00714358">
            <w:pPr>
              <w:ind w:left="720"/>
              <w:rPr>
                <w:rFonts w:eastAsia="Calibri"/>
              </w:rPr>
            </w:pPr>
            <w:r w:rsidRPr="00A40E27">
              <w:rPr>
                <w:rFonts w:eastAsia="Calibri"/>
              </w:rPr>
              <w:t>Amsterdam</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1,064</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124</w:t>
            </w:r>
          </w:p>
        </w:tc>
      </w:tr>
      <w:tr w:rsidR="00A44F5C" w:rsidRPr="00A40E27" w:rsidTr="00467D6A">
        <w:trPr>
          <w:trHeight w:hRule="exact" w:val="317"/>
          <w:jc w:val="center"/>
        </w:trPr>
        <w:tc>
          <w:tcPr>
            <w:tcW w:w="3581" w:type="pct"/>
            <w:tcBorders>
              <w:bottom w:val="nil"/>
              <w:right w:val="nil"/>
            </w:tcBorders>
            <w:shd w:val="clear" w:color="auto" w:fill="auto"/>
            <w:noWrap/>
            <w:vAlign w:val="bottom"/>
            <w:hideMark/>
          </w:tcPr>
          <w:p w:rsidR="00A44F5C" w:rsidRPr="00A40E27" w:rsidRDefault="00A44F5C" w:rsidP="00714358">
            <w:pPr>
              <w:ind w:left="720"/>
              <w:rPr>
                <w:rFonts w:eastAsia="Calibri"/>
              </w:rPr>
            </w:pPr>
            <w:r w:rsidRPr="00A40E27">
              <w:rPr>
                <w:rFonts w:eastAsia="Calibri"/>
              </w:rPr>
              <w:t>Brussels</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986</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127</w:t>
            </w:r>
          </w:p>
        </w:tc>
      </w:tr>
      <w:tr w:rsidR="00A44F5C" w:rsidRPr="00A40E27" w:rsidTr="00467D6A">
        <w:trPr>
          <w:trHeight w:hRule="exact" w:val="317"/>
          <w:jc w:val="center"/>
        </w:trPr>
        <w:tc>
          <w:tcPr>
            <w:tcW w:w="3581" w:type="pct"/>
            <w:tcBorders>
              <w:bottom w:val="nil"/>
              <w:right w:val="nil"/>
            </w:tcBorders>
            <w:shd w:val="clear" w:color="auto" w:fill="auto"/>
            <w:noWrap/>
            <w:vAlign w:val="bottom"/>
            <w:hideMark/>
          </w:tcPr>
          <w:p w:rsidR="00A44F5C" w:rsidRPr="00A40E27" w:rsidRDefault="00A44F5C" w:rsidP="00714358">
            <w:pPr>
              <w:ind w:left="720"/>
              <w:rPr>
                <w:rFonts w:eastAsia="Calibri"/>
              </w:rPr>
            </w:pPr>
            <w:r w:rsidRPr="00A40E27">
              <w:rPr>
                <w:rFonts w:eastAsia="Calibri"/>
              </w:rPr>
              <w:t>Paris</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6,076</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755</w:t>
            </w:r>
          </w:p>
        </w:tc>
      </w:tr>
      <w:tr w:rsidR="00A44F5C" w:rsidRPr="00A40E27" w:rsidTr="00467D6A">
        <w:trPr>
          <w:trHeight w:hRule="exact" w:val="418"/>
          <w:jc w:val="center"/>
        </w:trPr>
        <w:tc>
          <w:tcPr>
            <w:tcW w:w="3581" w:type="pct"/>
            <w:tcBorders>
              <w:bottom w:val="nil"/>
              <w:right w:val="nil"/>
            </w:tcBorders>
            <w:shd w:val="clear" w:color="auto" w:fill="auto"/>
            <w:noWrap/>
            <w:vAlign w:val="bottom"/>
            <w:hideMark/>
          </w:tcPr>
          <w:p w:rsidR="00A44F5C" w:rsidRPr="00A40E27" w:rsidRDefault="00A44F5C" w:rsidP="00714358">
            <w:pPr>
              <w:ind w:left="720"/>
              <w:rPr>
                <w:rFonts w:eastAsia="Calibri"/>
              </w:rPr>
            </w:pPr>
            <w:r w:rsidRPr="00A40E27">
              <w:rPr>
                <w:rFonts w:eastAsia="Calibri"/>
              </w:rPr>
              <w:t>Lisbon</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496</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color w:val="000000"/>
              </w:rPr>
            </w:pPr>
            <w:r w:rsidRPr="00A40E27">
              <w:rPr>
                <w:color w:val="000000"/>
              </w:rPr>
              <w:t>52</w:t>
            </w:r>
          </w:p>
        </w:tc>
      </w:tr>
      <w:tr w:rsidR="00A44F5C" w:rsidRPr="00A40E27" w:rsidTr="00290CF2">
        <w:trPr>
          <w:trHeight w:val="432"/>
          <w:jc w:val="center"/>
        </w:trPr>
        <w:tc>
          <w:tcPr>
            <w:tcW w:w="3581" w:type="pct"/>
            <w:tcBorders>
              <w:top w:val="nil"/>
              <w:left w:val="nil"/>
              <w:bottom w:val="nil"/>
              <w:right w:val="nil"/>
            </w:tcBorders>
            <w:shd w:val="clear" w:color="auto" w:fill="auto"/>
            <w:noWrap/>
            <w:vAlign w:val="bottom"/>
            <w:hideMark/>
          </w:tcPr>
          <w:p w:rsidR="00A44F5C" w:rsidRPr="00A40E27" w:rsidRDefault="00A44F5C" w:rsidP="00714358">
            <w:pPr>
              <w:rPr>
                <w:rFonts w:eastAsia="Calibri"/>
              </w:rPr>
            </w:pPr>
            <w:r w:rsidRPr="00A40E27">
              <w:rPr>
                <w:rFonts w:eastAsia="Calibri"/>
              </w:rPr>
              <w:t>After requiring non-missing NI, OCF, Accrual and control variables</w:t>
            </w:r>
          </w:p>
        </w:tc>
        <w:tc>
          <w:tcPr>
            <w:tcW w:w="710" w:type="pct"/>
            <w:tcBorders>
              <w:top w:val="nil"/>
              <w:left w:val="nil"/>
              <w:bottom w:val="nil"/>
              <w:right w:val="nil"/>
            </w:tcBorders>
            <w:shd w:val="clear" w:color="auto" w:fill="auto"/>
            <w:noWrap/>
            <w:hideMark/>
          </w:tcPr>
          <w:p w:rsidR="00FA5FF3" w:rsidRDefault="00A44F5C" w:rsidP="00714358">
            <w:pPr>
              <w:jc w:val="right"/>
              <w:rPr>
                <w:b/>
                <w:color w:val="000000"/>
              </w:rPr>
            </w:pPr>
            <w:r w:rsidRPr="00A40E27">
              <w:rPr>
                <w:b/>
                <w:color w:val="000000"/>
              </w:rPr>
              <w:t xml:space="preserve">         </w:t>
            </w:r>
          </w:p>
          <w:p w:rsidR="00A44F5C" w:rsidRPr="00A40E27" w:rsidRDefault="00A44F5C" w:rsidP="00714358">
            <w:pPr>
              <w:jc w:val="right"/>
              <w:rPr>
                <w:b/>
                <w:color w:val="000000"/>
              </w:rPr>
            </w:pPr>
            <w:r w:rsidRPr="00A40E27">
              <w:rPr>
                <w:b/>
                <w:color w:val="000000"/>
              </w:rPr>
              <w:t>6,023</w:t>
            </w:r>
          </w:p>
        </w:tc>
        <w:tc>
          <w:tcPr>
            <w:tcW w:w="710" w:type="pct"/>
            <w:tcBorders>
              <w:top w:val="nil"/>
              <w:left w:val="nil"/>
              <w:bottom w:val="nil"/>
              <w:right w:val="nil"/>
            </w:tcBorders>
            <w:shd w:val="clear" w:color="auto" w:fill="auto"/>
            <w:noWrap/>
            <w:hideMark/>
          </w:tcPr>
          <w:p w:rsidR="00FA5FF3" w:rsidRDefault="00A44F5C" w:rsidP="00714358">
            <w:pPr>
              <w:jc w:val="right"/>
              <w:rPr>
                <w:b/>
                <w:color w:val="000000"/>
              </w:rPr>
            </w:pPr>
            <w:r w:rsidRPr="00A40E27">
              <w:rPr>
                <w:b/>
                <w:color w:val="000000"/>
              </w:rPr>
              <w:t xml:space="preserve">  </w:t>
            </w:r>
          </w:p>
          <w:p w:rsidR="00A44F5C" w:rsidRPr="00A40E27" w:rsidRDefault="00A44F5C" w:rsidP="00714358">
            <w:pPr>
              <w:jc w:val="right"/>
              <w:rPr>
                <w:b/>
                <w:color w:val="000000"/>
              </w:rPr>
            </w:pPr>
            <w:r w:rsidRPr="00A40E27">
              <w:rPr>
                <w:b/>
                <w:color w:val="000000"/>
              </w:rPr>
              <w:t xml:space="preserve">    802</w:t>
            </w:r>
          </w:p>
        </w:tc>
      </w:tr>
      <w:tr w:rsidR="004F41BD" w:rsidRPr="00A40E27" w:rsidTr="00467D6A">
        <w:trPr>
          <w:trHeight w:val="207"/>
          <w:jc w:val="center"/>
        </w:trPr>
        <w:tc>
          <w:tcPr>
            <w:tcW w:w="3581" w:type="pct"/>
            <w:tcBorders>
              <w:top w:val="nil"/>
              <w:left w:val="nil"/>
              <w:bottom w:val="nil"/>
              <w:right w:val="nil"/>
            </w:tcBorders>
            <w:shd w:val="clear" w:color="auto" w:fill="auto"/>
            <w:noWrap/>
            <w:vAlign w:val="bottom"/>
          </w:tcPr>
          <w:p w:rsidR="004F41BD" w:rsidRPr="00A40E27" w:rsidRDefault="004F41BD" w:rsidP="00714358">
            <w:pPr>
              <w:rPr>
                <w:rFonts w:eastAsia="Calibri"/>
              </w:rPr>
            </w:pPr>
          </w:p>
        </w:tc>
        <w:tc>
          <w:tcPr>
            <w:tcW w:w="710" w:type="pct"/>
            <w:tcBorders>
              <w:top w:val="nil"/>
              <w:left w:val="nil"/>
              <w:bottom w:val="nil"/>
              <w:right w:val="nil"/>
            </w:tcBorders>
            <w:shd w:val="clear" w:color="auto" w:fill="auto"/>
            <w:noWrap/>
            <w:vAlign w:val="center"/>
          </w:tcPr>
          <w:p w:rsidR="004F41BD" w:rsidRPr="00A40E27" w:rsidRDefault="004F41BD" w:rsidP="00714358">
            <w:pPr>
              <w:jc w:val="right"/>
              <w:rPr>
                <w:b/>
                <w:color w:val="000000"/>
              </w:rPr>
            </w:pPr>
          </w:p>
        </w:tc>
        <w:tc>
          <w:tcPr>
            <w:tcW w:w="710" w:type="pct"/>
            <w:tcBorders>
              <w:top w:val="nil"/>
              <w:left w:val="nil"/>
              <w:bottom w:val="nil"/>
              <w:right w:val="nil"/>
            </w:tcBorders>
            <w:shd w:val="clear" w:color="auto" w:fill="auto"/>
            <w:noWrap/>
            <w:vAlign w:val="center"/>
          </w:tcPr>
          <w:p w:rsidR="004F41BD" w:rsidRPr="00A40E27" w:rsidRDefault="004F41BD" w:rsidP="00714358">
            <w:pPr>
              <w:jc w:val="right"/>
              <w:rPr>
                <w:b/>
                <w:color w:val="000000"/>
              </w:rPr>
            </w:pPr>
          </w:p>
        </w:tc>
      </w:tr>
      <w:tr w:rsidR="00A44F5C" w:rsidRPr="00A40E27" w:rsidTr="00467D6A">
        <w:trPr>
          <w:trHeight w:val="783"/>
          <w:jc w:val="center"/>
        </w:trPr>
        <w:tc>
          <w:tcPr>
            <w:tcW w:w="3581" w:type="pct"/>
            <w:tcBorders>
              <w:top w:val="nil"/>
              <w:left w:val="nil"/>
              <w:bottom w:val="nil"/>
              <w:right w:val="nil"/>
            </w:tcBorders>
            <w:shd w:val="clear" w:color="auto" w:fill="auto"/>
            <w:noWrap/>
            <w:vAlign w:val="bottom"/>
            <w:hideMark/>
          </w:tcPr>
          <w:p w:rsidR="00A44F5C" w:rsidRPr="00A40E27" w:rsidRDefault="00A44F5C" w:rsidP="00714358">
            <w:pPr>
              <w:rPr>
                <w:rFonts w:eastAsia="Calibri"/>
              </w:rPr>
            </w:pPr>
            <w:r w:rsidRPr="00A40E27">
              <w:rPr>
                <w:rFonts w:eastAsia="Calibri"/>
              </w:rPr>
              <w:t>After truncating liquidity, return, earnings, accruals/assets,</w:t>
            </w:r>
          </w:p>
          <w:p w:rsidR="00A44F5C" w:rsidRPr="00A40E27" w:rsidRDefault="00A44F5C" w:rsidP="00714358">
            <w:pPr>
              <w:rPr>
                <w:rFonts w:eastAsia="Calibri"/>
              </w:rPr>
            </w:pPr>
            <w:proofErr w:type="spellStart"/>
            <w:r>
              <w:rPr>
                <w:rFonts w:eastAsia="Calibri"/>
              </w:rPr>
              <w:t>OCF</w:t>
            </w:r>
            <w:r w:rsidRPr="00A40E27">
              <w:rPr>
                <w:rFonts w:eastAsia="Calibri"/>
              </w:rPr>
              <w:t>_</w:t>
            </w:r>
            <w:r>
              <w:rPr>
                <w:rFonts w:eastAsia="Calibri"/>
              </w:rPr>
              <w:t>A</w:t>
            </w:r>
            <w:r w:rsidRPr="00A40E27">
              <w:rPr>
                <w:rFonts w:eastAsia="Calibri"/>
              </w:rPr>
              <w:t>ssets</w:t>
            </w:r>
            <w:proofErr w:type="spellEnd"/>
            <w:r w:rsidRPr="00A40E27">
              <w:rPr>
                <w:rFonts w:eastAsia="Calibri"/>
              </w:rPr>
              <w:t xml:space="preserve"> and other control variables at 0.5% and 99.5%</w:t>
            </w:r>
          </w:p>
        </w:tc>
        <w:tc>
          <w:tcPr>
            <w:tcW w:w="710" w:type="pct"/>
            <w:tcBorders>
              <w:top w:val="nil"/>
              <w:left w:val="nil"/>
              <w:bottom w:val="nil"/>
              <w:right w:val="nil"/>
            </w:tcBorders>
            <w:shd w:val="clear" w:color="auto" w:fill="auto"/>
            <w:noWrap/>
            <w:vAlign w:val="center"/>
            <w:hideMark/>
          </w:tcPr>
          <w:p w:rsidR="00A44F5C" w:rsidRPr="00A40E27" w:rsidRDefault="00A44F5C" w:rsidP="00FA5FF3">
            <w:pPr>
              <w:jc w:val="right"/>
              <w:rPr>
                <w:b/>
                <w:color w:val="000000"/>
              </w:rPr>
            </w:pPr>
            <w:r w:rsidRPr="00A40E27">
              <w:rPr>
                <w:b/>
                <w:color w:val="000000"/>
              </w:rPr>
              <w:t xml:space="preserve">       5,562</w:t>
            </w:r>
          </w:p>
        </w:tc>
        <w:tc>
          <w:tcPr>
            <w:tcW w:w="710" w:type="pct"/>
            <w:tcBorders>
              <w:top w:val="nil"/>
              <w:left w:val="nil"/>
              <w:bottom w:val="nil"/>
              <w:right w:val="nil"/>
            </w:tcBorders>
            <w:shd w:val="clear" w:color="auto" w:fill="auto"/>
            <w:noWrap/>
            <w:vAlign w:val="center"/>
            <w:hideMark/>
          </w:tcPr>
          <w:p w:rsidR="00A44F5C" w:rsidRPr="00A40E27" w:rsidRDefault="00A44F5C" w:rsidP="00FA5FF3">
            <w:pPr>
              <w:jc w:val="right"/>
              <w:rPr>
                <w:b/>
                <w:color w:val="000000"/>
              </w:rPr>
            </w:pPr>
            <w:r w:rsidRPr="00A40E27">
              <w:rPr>
                <w:b/>
                <w:color w:val="000000"/>
              </w:rPr>
              <w:t xml:space="preserve">    778</w:t>
            </w:r>
          </w:p>
        </w:tc>
      </w:tr>
      <w:tr w:rsidR="004F41BD" w:rsidRPr="00A40E27" w:rsidTr="00467D6A">
        <w:trPr>
          <w:trHeight w:val="135"/>
          <w:jc w:val="center"/>
        </w:trPr>
        <w:tc>
          <w:tcPr>
            <w:tcW w:w="3581" w:type="pct"/>
            <w:tcBorders>
              <w:top w:val="nil"/>
              <w:left w:val="nil"/>
              <w:bottom w:val="nil"/>
              <w:right w:val="nil"/>
            </w:tcBorders>
            <w:shd w:val="clear" w:color="auto" w:fill="auto"/>
            <w:noWrap/>
            <w:vAlign w:val="bottom"/>
          </w:tcPr>
          <w:p w:rsidR="004F41BD" w:rsidRPr="00A40E27" w:rsidRDefault="004F41BD" w:rsidP="00714358">
            <w:pPr>
              <w:rPr>
                <w:rFonts w:eastAsia="Calibri"/>
              </w:rPr>
            </w:pPr>
          </w:p>
        </w:tc>
        <w:tc>
          <w:tcPr>
            <w:tcW w:w="710" w:type="pct"/>
            <w:tcBorders>
              <w:top w:val="nil"/>
              <w:left w:val="nil"/>
              <w:bottom w:val="nil"/>
              <w:right w:val="nil"/>
            </w:tcBorders>
            <w:shd w:val="clear" w:color="auto" w:fill="auto"/>
            <w:noWrap/>
            <w:vAlign w:val="bottom"/>
          </w:tcPr>
          <w:p w:rsidR="004F41BD" w:rsidRPr="00A40E27" w:rsidRDefault="004F41BD" w:rsidP="00714358">
            <w:pPr>
              <w:jc w:val="right"/>
              <w:rPr>
                <w:b/>
                <w:color w:val="000000"/>
              </w:rPr>
            </w:pPr>
          </w:p>
        </w:tc>
        <w:tc>
          <w:tcPr>
            <w:tcW w:w="710" w:type="pct"/>
            <w:tcBorders>
              <w:top w:val="nil"/>
              <w:left w:val="nil"/>
              <w:bottom w:val="nil"/>
              <w:right w:val="nil"/>
            </w:tcBorders>
            <w:shd w:val="clear" w:color="auto" w:fill="auto"/>
            <w:noWrap/>
            <w:vAlign w:val="bottom"/>
          </w:tcPr>
          <w:p w:rsidR="004F41BD" w:rsidRPr="00A40E27" w:rsidRDefault="004F41BD" w:rsidP="00714358">
            <w:pPr>
              <w:jc w:val="right"/>
              <w:rPr>
                <w:b/>
                <w:color w:val="000000"/>
              </w:rPr>
            </w:pPr>
          </w:p>
        </w:tc>
      </w:tr>
      <w:tr w:rsidR="00A44F5C" w:rsidRPr="00A40E27" w:rsidTr="00467D6A">
        <w:trPr>
          <w:trHeight w:val="80"/>
          <w:jc w:val="center"/>
        </w:trPr>
        <w:tc>
          <w:tcPr>
            <w:tcW w:w="3581" w:type="pct"/>
            <w:tcBorders>
              <w:top w:val="nil"/>
              <w:left w:val="nil"/>
              <w:bottom w:val="nil"/>
              <w:right w:val="nil"/>
            </w:tcBorders>
            <w:shd w:val="clear" w:color="auto" w:fill="auto"/>
            <w:noWrap/>
            <w:vAlign w:val="bottom"/>
            <w:hideMark/>
          </w:tcPr>
          <w:p w:rsidR="00A44F5C" w:rsidRPr="00A40E27" w:rsidRDefault="00A44F5C" w:rsidP="00714358">
            <w:pPr>
              <w:rPr>
                <w:rFonts w:eastAsia="Calibri"/>
              </w:rPr>
            </w:pPr>
            <w:r w:rsidRPr="00A40E27">
              <w:rPr>
                <w:rFonts w:eastAsia="Calibri"/>
              </w:rPr>
              <w:t>After requiring a balanced sample</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b/>
                <w:color w:val="000000"/>
              </w:rPr>
            </w:pPr>
            <w:r w:rsidRPr="00A40E27">
              <w:rPr>
                <w:b/>
                <w:color w:val="000000"/>
              </w:rPr>
              <w:t>4,856</w:t>
            </w:r>
          </w:p>
        </w:tc>
        <w:tc>
          <w:tcPr>
            <w:tcW w:w="710" w:type="pct"/>
            <w:tcBorders>
              <w:top w:val="nil"/>
              <w:left w:val="nil"/>
              <w:bottom w:val="nil"/>
              <w:right w:val="nil"/>
            </w:tcBorders>
            <w:shd w:val="clear" w:color="auto" w:fill="auto"/>
            <w:noWrap/>
            <w:vAlign w:val="bottom"/>
            <w:hideMark/>
          </w:tcPr>
          <w:p w:rsidR="00A44F5C" w:rsidRPr="00A40E27" w:rsidRDefault="00A44F5C" w:rsidP="00714358">
            <w:pPr>
              <w:jc w:val="right"/>
              <w:rPr>
                <w:b/>
                <w:color w:val="000000"/>
              </w:rPr>
            </w:pPr>
            <w:r w:rsidRPr="00A40E27">
              <w:rPr>
                <w:b/>
                <w:color w:val="000000"/>
              </w:rPr>
              <w:t>529</w:t>
            </w:r>
          </w:p>
        </w:tc>
      </w:tr>
      <w:tr w:rsidR="00A44F5C" w:rsidRPr="005222BC" w:rsidTr="00467D6A">
        <w:trPr>
          <w:trHeight w:val="80"/>
          <w:jc w:val="center"/>
        </w:trPr>
        <w:tc>
          <w:tcPr>
            <w:tcW w:w="3581" w:type="pct"/>
            <w:tcBorders>
              <w:top w:val="nil"/>
              <w:left w:val="nil"/>
              <w:bottom w:val="nil"/>
              <w:right w:val="nil"/>
            </w:tcBorders>
            <w:shd w:val="clear" w:color="auto" w:fill="auto"/>
            <w:noWrap/>
            <w:vAlign w:val="bottom"/>
            <w:hideMark/>
          </w:tcPr>
          <w:p w:rsidR="00A44F5C" w:rsidRPr="00A40E27" w:rsidRDefault="00A44F5C" w:rsidP="00714358">
            <w:pPr>
              <w:rPr>
                <w:rFonts w:eastAsia="Calibri"/>
              </w:rPr>
            </w:pPr>
          </w:p>
        </w:tc>
        <w:tc>
          <w:tcPr>
            <w:tcW w:w="710" w:type="pct"/>
            <w:tcBorders>
              <w:top w:val="nil"/>
              <w:left w:val="nil"/>
              <w:bottom w:val="nil"/>
              <w:right w:val="nil"/>
            </w:tcBorders>
            <w:shd w:val="clear" w:color="auto" w:fill="auto"/>
            <w:noWrap/>
            <w:vAlign w:val="bottom"/>
            <w:hideMark/>
          </w:tcPr>
          <w:p w:rsidR="00A44F5C" w:rsidRPr="005222BC" w:rsidRDefault="00A44F5C" w:rsidP="005222BC">
            <w:pPr>
              <w:rPr>
                <w:rFonts w:eastAsia="Calibri"/>
              </w:rPr>
            </w:pPr>
          </w:p>
        </w:tc>
        <w:tc>
          <w:tcPr>
            <w:tcW w:w="710" w:type="pct"/>
            <w:tcBorders>
              <w:top w:val="nil"/>
              <w:left w:val="nil"/>
              <w:bottom w:val="nil"/>
              <w:right w:val="nil"/>
            </w:tcBorders>
            <w:shd w:val="clear" w:color="auto" w:fill="auto"/>
            <w:noWrap/>
            <w:vAlign w:val="bottom"/>
            <w:hideMark/>
          </w:tcPr>
          <w:p w:rsidR="00A44F5C" w:rsidRPr="005222BC" w:rsidRDefault="00A44F5C" w:rsidP="005222BC">
            <w:pPr>
              <w:rPr>
                <w:rFonts w:eastAsia="Calibri"/>
              </w:rPr>
            </w:pPr>
          </w:p>
        </w:tc>
      </w:tr>
      <w:tr w:rsidR="00A44F5C" w:rsidRPr="00A40E27" w:rsidTr="00E66555">
        <w:trPr>
          <w:trHeight w:val="80"/>
          <w:jc w:val="center"/>
        </w:trPr>
        <w:tc>
          <w:tcPr>
            <w:tcW w:w="3581" w:type="pct"/>
            <w:tcBorders>
              <w:top w:val="nil"/>
              <w:left w:val="nil"/>
              <w:bottom w:val="single" w:sz="12" w:space="0" w:color="auto"/>
              <w:right w:val="nil"/>
            </w:tcBorders>
            <w:shd w:val="clear" w:color="auto" w:fill="auto"/>
            <w:noWrap/>
            <w:vAlign w:val="bottom"/>
            <w:hideMark/>
          </w:tcPr>
          <w:p w:rsidR="00A44F5C" w:rsidRPr="00A40E27" w:rsidRDefault="00A44F5C" w:rsidP="00714358">
            <w:pPr>
              <w:rPr>
                <w:rFonts w:eastAsia="Calibri"/>
              </w:rPr>
            </w:pPr>
            <w:r w:rsidRPr="00A40E27">
              <w:rPr>
                <w:rFonts w:eastAsia="Calibri"/>
              </w:rPr>
              <w:t>After propensity score matching in pre-merger and post-merger periods</w:t>
            </w:r>
          </w:p>
        </w:tc>
        <w:tc>
          <w:tcPr>
            <w:tcW w:w="710" w:type="pct"/>
            <w:tcBorders>
              <w:top w:val="nil"/>
              <w:left w:val="nil"/>
              <w:bottom w:val="single" w:sz="12" w:space="0" w:color="auto"/>
              <w:right w:val="nil"/>
            </w:tcBorders>
            <w:shd w:val="clear" w:color="auto" w:fill="auto"/>
            <w:noWrap/>
            <w:hideMark/>
          </w:tcPr>
          <w:p w:rsidR="00A44F5C" w:rsidRPr="00A40E27" w:rsidRDefault="00A44F5C" w:rsidP="00E66555">
            <w:pPr>
              <w:jc w:val="right"/>
              <w:rPr>
                <w:b/>
                <w:color w:val="000000"/>
              </w:rPr>
            </w:pPr>
            <w:r w:rsidRPr="00A40E27">
              <w:rPr>
                <w:b/>
                <w:color w:val="000000"/>
              </w:rPr>
              <w:t>2,446</w:t>
            </w:r>
          </w:p>
        </w:tc>
        <w:tc>
          <w:tcPr>
            <w:tcW w:w="710" w:type="pct"/>
            <w:tcBorders>
              <w:top w:val="nil"/>
              <w:left w:val="nil"/>
              <w:bottom w:val="single" w:sz="12" w:space="0" w:color="auto"/>
              <w:right w:val="nil"/>
            </w:tcBorders>
            <w:shd w:val="clear" w:color="auto" w:fill="auto"/>
            <w:noWrap/>
            <w:hideMark/>
          </w:tcPr>
          <w:p w:rsidR="00A44F5C" w:rsidRPr="00A40E27" w:rsidRDefault="00A44F5C" w:rsidP="00E66555">
            <w:pPr>
              <w:jc w:val="right"/>
              <w:rPr>
                <w:b/>
                <w:color w:val="000000"/>
              </w:rPr>
            </w:pPr>
            <w:r w:rsidRPr="00A40E27">
              <w:rPr>
                <w:b/>
                <w:color w:val="000000"/>
              </w:rPr>
              <w:t>474</w:t>
            </w:r>
          </w:p>
        </w:tc>
      </w:tr>
    </w:tbl>
    <w:p w:rsidR="00A44F5C" w:rsidRPr="00A40E27" w:rsidRDefault="00A44F5C" w:rsidP="00A44F5C">
      <w:pPr>
        <w:autoSpaceDE w:val="0"/>
        <w:autoSpaceDN w:val="0"/>
        <w:adjustRightInd w:val="0"/>
        <w:rPr>
          <w:color w:val="000000"/>
        </w:rPr>
      </w:pPr>
    </w:p>
    <w:p w:rsidR="00A44F5C" w:rsidRDefault="00A44F5C" w:rsidP="00A44F5C">
      <w:pPr>
        <w:autoSpaceDE w:val="0"/>
        <w:autoSpaceDN w:val="0"/>
        <w:adjustRightInd w:val="0"/>
        <w:rPr>
          <w:b/>
        </w:rPr>
      </w:pPr>
    </w:p>
    <w:p w:rsidR="00A44F5C" w:rsidRDefault="00A44F5C" w:rsidP="00A44F5C">
      <w:pPr>
        <w:autoSpaceDE w:val="0"/>
        <w:autoSpaceDN w:val="0"/>
        <w:adjustRightInd w:val="0"/>
        <w:rPr>
          <w:b/>
        </w:rPr>
      </w:pPr>
      <w:r w:rsidRPr="00A40E27">
        <w:rPr>
          <w:b/>
        </w:rPr>
        <w:t xml:space="preserve">Panel B:  Descriptive </w:t>
      </w:r>
      <w:r w:rsidR="00C81DDE">
        <w:rPr>
          <w:b/>
        </w:rPr>
        <w:t>s</w:t>
      </w:r>
      <w:r w:rsidRPr="00A40E27">
        <w:rPr>
          <w:b/>
        </w:rPr>
        <w:t xml:space="preserve">tatistics, </w:t>
      </w:r>
      <w:r w:rsidR="00C81DDE">
        <w:rPr>
          <w:b/>
        </w:rPr>
        <w:t>f</w:t>
      </w:r>
      <w:r w:rsidRPr="00A40E27">
        <w:rPr>
          <w:b/>
        </w:rPr>
        <w:t xml:space="preserve">ull </w:t>
      </w:r>
      <w:r w:rsidR="00C81DDE">
        <w:rPr>
          <w:b/>
        </w:rPr>
        <w:t>s</w:t>
      </w:r>
      <w:r w:rsidRPr="00A40E27">
        <w:rPr>
          <w:b/>
        </w:rPr>
        <w:t>ample</w:t>
      </w:r>
    </w:p>
    <w:tbl>
      <w:tblPr>
        <w:tblW w:w="5000" w:type="pct"/>
        <w:jc w:val="center"/>
        <w:tblLook w:val="04A0" w:firstRow="1" w:lastRow="0" w:firstColumn="1" w:lastColumn="0" w:noHBand="0" w:noVBand="1"/>
      </w:tblPr>
      <w:tblGrid>
        <w:gridCol w:w="2742"/>
        <w:gridCol w:w="1053"/>
        <w:gridCol w:w="1157"/>
        <w:gridCol w:w="1157"/>
        <w:gridCol w:w="1157"/>
        <w:gridCol w:w="1157"/>
        <w:gridCol w:w="1153"/>
      </w:tblGrid>
      <w:tr w:rsidR="00A44F5C" w:rsidRPr="00A40E27" w:rsidTr="00290CF2">
        <w:trPr>
          <w:trHeight w:hRule="exact" w:val="317"/>
          <w:jc w:val="center"/>
        </w:trPr>
        <w:tc>
          <w:tcPr>
            <w:tcW w:w="1432"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714358">
            <w:pPr>
              <w:rPr>
                <w:b/>
                <w:color w:val="000000"/>
              </w:rPr>
            </w:pPr>
            <w:r w:rsidRPr="00A40E27">
              <w:rPr>
                <w:b/>
                <w:color w:val="000000"/>
              </w:rPr>
              <w:t>Variable</w:t>
            </w:r>
          </w:p>
        </w:tc>
        <w:tc>
          <w:tcPr>
            <w:tcW w:w="550"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r w:rsidRPr="00A40E27">
              <w:rPr>
                <w:b/>
                <w:color w:val="000000"/>
              </w:rPr>
              <w:t>N</w:t>
            </w:r>
          </w:p>
        </w:tc>
        <w:tc>
          <w:tcPr>
            <w:tcW w:w="604"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r w:rsidRPr="00A40E27">
              <w:rPr>
                <w:b/>
                <w:color w:val="000000"/>
              </w:rPr>
              <w:t>Q1</w:t>
            </w:r>
          </w:p>
        </w:tc>
        <w:tc>
          <w:tcPr>
            <w:tcW w:w="604"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r w:rsidRPr="00A40E27">
              <w:rPr>
                <w:b/>
                <w:color w:val="000000"/>
              </w:rPr>
              <w:t>Median</w:t>
            </w:r>
          </w:p>
        </w:tc>
        <w:tc>
          <w:tcPr>
            <w:tcW w:w="604"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r w:rsidRPr="00A40E27">
              <w:rPr>
                <w:b/>
                <w:color w:val="000000"/>
              </w:rPr>
              <w:t>Q3</w:t>
            </w:r>
          </w:p>
        </w:tc>
        <w:tc>
          <w:tcPr>
            <w:tcW w:w="604"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r w:rsidRPr="00A40E27">
              <w:rPr>
                <w:b/>
                <w:color w:val="000000"/>
              </w:rPr>
              <w:t>Mean</w:t>
            </w:r>
          </w:p>
        </w:tc>
        <w:tc>
          <w:tcPr>
            <w:tcW w:w="604" w:type="pct"/>
            <w:tcBorders>
              <w:top w:val="single" w:sz="12"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b/>
                <w:color w:val="000000"/>
              </w:rPr>
            </w:pPr>
            <w:proofErr w:type="spellStart"/>
            <w:r>
              <w:rPr>
                <w:b/>
                <w:color w:val="000000"/>
              </w:rPr>
              <w:t>StdD</w:t>
            </w:r>
            <w:r w:rsidRPr="00A40E27">
              <w:rPr>
                <w:b/>
                <w:color w:val="000000"/>
              </w:rPr>
              <w:t>ev</w:t>
            </w:r>
            <w:proofErr w:type="spellEnd"/>
          </w:p>
        </w:tc>
      </w:tr>
      <w:tr w:rsidR="00A44F5C" w:rsidRPr="00A40E27" w:rsidTr="00290CF2">
        <w:trPr>
          <w:trHeight w:hRule="exact" w:val="317"/>
          <w:jc w:val="center"/>
        </w:trPr>
        <w:tc>
          <w:tcPr>
            <w:tcW w:w="1432"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Return</w:t>
            </w:r>
          </w:p>
        </w:tc>
        <w:tc>
          <w:tcPr>
            <w:tcW w:w="550"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-0.1112</w:t>
            </w:r>
          </w:p>
        </w:tc>
        <w:tc>
          <w:tcPr>
            <w:tcW w:w="604"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0.1423</w:t>
            </w:r>
          </w:p>
        </w:tc>
        <w:tc>
          <w:tcPr>
            <w:tcW w:w="604"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0.4388</w:t>
            </w:r>
          </w:p>
        </w:tc>
        <w:tc>
          <w:tcPr>
            <w:tcW w:w="604"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0.3868</w:t>
            </w:r>
          </w:p>
        </w:tc>
        <w:tc>
          <w:tcPr>
            <w:tcW w:w="604" w:type="pct"/>
            <w:tcBorders>
              <w:top w:val="single" w:sz="12" w:space="0" w:color="auto"/>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1.2499</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proofErr w:type="spellStart"/>
            <w:r>
              <w:rPr>
                <w:color w:val="000000"/>
              </w:rPr>
              <w:t>NI</w:t>
            </w:r>
            <w:r w:rsidRPr="00A40E27">
              <w:rPr>
                <w:color w:val="000000"/>
              </w:rPr>
              <w:t>_</w:t>
            </w:r>
            <w:r>
              <w:rPr>
                <w:color w:val="000000"/>
              </w:rPr>
              <w:t>A</w:t>
            </w:r>
            <w:r w:rsidRPr="00A40E27">
              <w:rPr>
                <w:color w:val="000000"/>
              </w:rPr>
              <w:t>ssets</w:t>
            </w:r>
            <w:proofErr w:type="spellEnd"/>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0.0096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0.0345</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0.0627</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0.0270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0.0838</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proofErr w:type="spellStart"/>
            <w:r>
              <w:rPr>
                <w:color w:val="000000"/>
              </w:rPr>
              <w:t>OCF</w:t>
            </w:r>
            <w:r w:rsidRPr="00A40E27">
              <w:rPr>
                <w:color w:val="000000"/>
              </w:rPr>
              <w:t>_</w:t>
            </w:r>
            <w:r>
              <w:rPr>
                <w:color w:val="000000"/>
              </w:rPr>
              <w:t>A</w:t>
            </w:r>
            <w:r w:rsidRPr="00A40E27">
              <w:rPr>
                <w:color w:val="000000"/>
              </w:rPr>
              <w:t>ssets</w:t>
            </w:r>
            <w:proofErr w:type="spellEnd"/>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0.0257</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0.0741</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0.1219</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0.0730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0.0966</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proofErr w:type="spellStart"/>
            <w:r>
              <w:rPr>
                <w:color w:val="000000"/>
              </w:rPr>
              <w:t>A</w:t>
            </w:r>
            <w:r w:rsidRPr="00A40E27">
              <w:rPr>
                <w:color w:val="000000"/>
              </w:rPr>
              <w:t>ccruals_</w:t>
            </w:r>
            <w:r>
              <w:rPr>
                <w:color w:val="000000"/>
              </w:rPr>
              <w:t>A</w:t>
            </w:r>
            <w:r w:rsidRPr="00A40E27">
              <w:rPr>
                <w:color w:val="000000"/>
              </w:rPr>
              <w:t>ssets</w:t>
            </w:r>
            <w:proofErr w:type="spellEnd"/>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-0.0826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-0.0420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-0.0010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-0.0460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0.0895</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tcPr>
          <w:p w:rsidR="00A44F5C" w:rsidRPr="00A40E27" w:rsidRDefault="00A44F5C" w:rsidP="00714358">
            <w:pPr>
              <w:rPr>
                <w:color w:val="000000"/>
              </w:rPr>
            </w:pPr>
            <w:proofErr w:type="spellStart"/>
            <w:r>
              <w:rPr>
                <w:color w:val="000000"/>
              </w:rPr>
              <w:t>mn_bidask</w:t>
            </w:r>
            <w:proofErr w:type="spellEnd"/>
          </w:p>
        </w:tc>
        <w:tc>
          <w:tcPr>
            <w:tcW w:w="550" w:type="pct"/>
            <w:tcBorders>
              <w:top w:val="nil"/>
              <w:left w:val="nil"/>
              <w:bottom w:val="single" w:sz="8" w:space="0" w:color="auto"/>
              <w:right w:val="nil"/>
            </w:tcBorders>
            <w:shd w:val="clear" w:color="auto" w:fill="auto"/>
            <w:noWrap/>
            <w:vAlign w:val="bottom"/>
          </w:tcPr>
          <w:p w:rsidR="00A44F5C" w:rsidRPr="00A40E27" w:rsidRDefault="00A44F5C" w:rsidP="00B15DD8">
            <w:pPr>
              <w:jc w:val="center"/>
              <w:rPr>
                <w:color w:val="000000"/>
              </w:rPr>
            </w:pPr>
            <w:r>
              <w:rPr>
                <w:color w:val="000000"/>
              </w:rPr>
              <w:t>4,856</w:t>
            </w:r>
          </w:p>
        </w:tc>
        <w:tc>
          <w:tcPr>
            <w:tcW w:w="604" w:type="pct"/>
            <w:tcBorders>
              <w:top w:val="nil"/>
              <w:left w:val="nil"/>
              <w:bottom w:val="single" w:sz="8" w:space="0" w:color="auto"/>
              <w:right w:val="nil"/>
            </w:tcBorders>
            <w:shd w:val="clear" w:color="auto" w:fill="auto"/>
            <w:noWrap/>
            <w:vAlign w:val="bottom"/>
          </w:tcPr>
          <w:p w:rsidR="00A44F5C" w:rsidRPr="00A40E27" w:rsidRDefault="00CF7029" w:rsidP="00CF7029">
            <w:pPr>
              <w:rPr>
                <w:color w:val="000000"/>
              </w:rPr>
            </w:pPr>
            <w:r>
              <w:rPr>
                <w:color w:val="000000"/>
              </w:rPr>
              <w:t xml:space="preserve"> </w:t>
            </w:r>
            <w:r w:rsidR="00A44F5C">
              <w:rPr>
                <w:color w:val="000000"/>
              </w:rPr>
              <w:t>-</w:t>
            </w:r>
            <w:r>
              <w:rPr>
                <w:color w:val="000000"/>
              </w:rPr>
              <w:t>0</w:t>
            </w:r>
            <w:r w:rsidR="00A44F5C">
              <w:rPr>
                <w:color w:val="000000"/>
              </w:rPr>
              <w:t>.0074</w:t>
            </w:r>
          </w:p>
        </w:tc>
        <w:tc>
          <w:tcPr>
            <w:tcW w:w="604" w:type="pct"/>
            <w:tcBorders>
              <w:top w:val="nil"/>
              <w:left w:val="nil"/>
              <w:bottom w:val="single" w:sz="8" w:space="0" w:color="auto"/>
              <w:right w:val="nil"/>
            </w:tcBorders>
            <w:shd w:val="clear" w:color="auto" w:fill="auto"/>
            <w:noWrap/>
            <w:vAlign w:val="bottom"/>
          </w:tcPr>
          <w:p w:rsidR="00A44F5C" w:rsidRPr="00A40E27" w:rsidRDefault="00A44F5C" w:rsidP="00B15DD8">
            <w:pPr>
              <w:jc w:val="center"/>
              <w:rPr>
                <w:color w:val="000000"/>
              </w:rPr>
            </w:pPr>
            <w:r>
              <w:rPr>
                <w:color w:val="000000"/>
              </w:rPr>
              <w:t>0.0155</w:t>
            </w:r>
          </w:p>
        </w:tc>
        <w:tc>
          <w:tcPr>
            <w:tcW w:w="604" w:type="pct"/>
            <w:tcBorders>
              <w:top w:val="nil"/>
              <w:left w:val="nil"/>
              <w:bottom w:val="single" w:sz="8" w:space="0" w:color="auto"/>
              <w:right w:val="nil"/>
            </w:tcBorders>
            <w:shd w:val="clear" w:color="auto" w:fill="auto"/>
            <w:noWrap/>
            <w:vAlign w:val="bottom"/>
          </w:tcPr>
          <w:p w:rsidR="00A44F5C" w:rsidRPr="00A40E27" w:rsidRDefault="00A44F5C" w:rsidP="00B15DD8">
            <w:pPr>
              <w:jc w:val="center"/>
              <w:rPr>
                <w:color w:val="000000"/>
              </w:rPr>
            </w:pPr>
            <w:r>
              <w:rPr>
                <w:color w:val="000000"/>
              </w:rPr>
              <w:t>0.0326</w:t>
            </w:r>
          </w:p>
        </w:tc>
        <w:tc>
          <w:tcPr>
            <w:tcW w:w="604" w:type="pct"/>
            <w:tcBorders>
              <w:top w:val="nil"/>
              <w:left w:val="nil"/>
              <w:bottom w:val="single" w:sz="8" w:space="0" w:color="auto"/>
              <w:right w:val="nil"/>
            </w:tcBorders>
            <w:shd w:val="clear" w:color="auto" w:fill="auto"/>
            <w:noWrap/>
            <w:vAlign w:val="bottom"/>
          </w:tcPr>
          <w:p w:rsidR="00A44F5C" w:rsidRPr="00A40E27" w:rsidRDefault="00A44F5C" w:rsidP="00B15DD8">
            <w:pPr>
              <w:jc w:val="center"/>
              <w:rPr>
                <w:color w:val="000000"/>
              </w:rPr>
            </w:pPr>
            <w:r>
              <w:rPr>
                <w:color w:val="000000"/>
              </w:rPr>
              <w:t>0.0306</w:t>
            </w:r>
          </w:p>
        </w:tc>
        <w:tc>
          <w:tcPr>
            <w:tcW w:w="604" w:type="pct"/>
            <w:tcBorders>
              <w:top w:val="nil"/>
              <w:left w:val="nil"/>
              <w:bottom w:val="single" w:sz="8" w:space="0" w:color="auto"/>
              <w:right w:val="nil"/>
            </w:tcBorders>
            <w:shd w:val="clear" w:color="auto" w:fill="auto"/>
            <w:noWrap/>
            <w:vAlign w:val="bottom"/>
          </w:tcPr>
          <w:p w:rsidR="00A44F5C" w:rsidRPr="00A40E27" w:rsidRDefault="00A44F5C" w:rsidP="00B15DD8">
            <w:pPr>
              <w:jc w:val="center"/>
              <w:rPr>
                <w:color w:val="000000"/>
              </w:rPr>
            </w:pPr>
            <w:r>
              <w:rPr>
                <w:color w:val="000000"/>
              </w:rPr>
              <w:t>0.0474</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proofErr w:type="spellStart"/>
            <w:r w:rsidRPr="00A40E27">
              <w:rPr>
                <w:color w:val="000000"/>
              </w:rPr>
              <w:t>perc_zeroret</w:t>
            </w:r>
            <w:proofErr w:type="spellEnd"/>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0.0536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0.1418</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0.4885</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0.2931</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0.3128</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Size</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3.7604</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5.1910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6.8594</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5.3850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2.1958</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Sales Growth</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-0.0150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0.1206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0.2338</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0.1443</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0.3107</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Leverage</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0.4939</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0.6192</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0.7310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0.6070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0.1860</w:t>
            </w:r>
          </w:p>
        </w:tc>
      </w:tr>
      <w:tr w:rsidR="00A44F5C" w:rsidRPr="00A40E27" w:rsidTr="00290CF2">
        <w:trPr>
          <w:trHeight w:hRule="exact" w:val="346"/>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Turn</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0.7712</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1.0837</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1.4183</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1.1602</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0.6040</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Auditor</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0.5344</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0.4989</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USCROSSLISTED</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0.0150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0.1217</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IFRS_USGAAP</w:t>
            </w:r>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1.0000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0.2864</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0.4521</w:t>
            </w:r>
          </w:p>
        </w:tc>
      </w:tr>
      <w:tr w:rsidR="00A44F5C" w:rsidRPr="00A40E27" w:rsidTr="00290CF2">
        <w:trPr>
          <w:trHeight w:hRule="exact" w:val="317"/>
          <w:jc w:val="center"/>
        </w:trPr>
        <w:tc>
          <w:tcPr>
            <w:tcW w:w="1432" w:type="pct"/>
            <w:tcBorders>
              <w:top w:val="nil"/>
              <w:left w:val="nil"/>
              <w:bottom w:val="single" w:sz="8" w:space="0" w:color="auto"/>
              <w:right w:val="nil"/>
            </w:tcBorders>
            <w:shd w:val="clear" w:color="auto" w:fill="auto"/>
            <w:noWrap/>
            <w:vAlign w:val="bottom"/>
            <w:hideMark/>
          </w:tcPr>
          <w:p w:rsidR="00A44F5C" w:rsidRPr="00A40E27" w:rsidRDefault="00A44F5C" w:rsidP="00714358">
            <w:pPr>
              <w:rPr>
                <w:color w:val="000000"/>
              </w:rPr>
            </w:pPr>
            <w:r w:rsidRPr="00A40E27">
              <w:rPr>
                <w:color w:val="000000"/>
              </w:rPr>
              <w:t>#</w:t>
            </w:r>
            <w:proofErr w:type="spellStart"/>
            <w:r w:rsidRPr="00A40E27">
              <w:rPr>
                <w:color w:val="000000"/>
              </w:rPr>
              <w:t>FExchange</w:t>
            </w:r>
            <w:proofErr w:type="spellEnd"/>
          </w:p>
        </w:tc>
        <w:tc>
          <w:tcPr>
            <w:tcW w:w="550"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0.0000</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0.2201</w:t>
            </w:r>
          </w:p>
        </w:tc>
        <w:tc>
          <w:tcPr>
            <w:tcW w:w="604" w:type="pct"/>
            <w:tcBorders>
              <w:top w:val="nil"/>
              <w:left w:val="nil"/>
              <w:bottom w:val="single" w:sz="8"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0.7742</w:t>
            </w:r>
          </w:p>
        </w:tc>
      </w:tr>
      <w:tr w:rsidR="00A44F5C" w:rsidRPr="00A40E27" w:rsidTr="00290CF2">
        <w:trPr>
          <w:trHeight w:hRule="exact" w:val="317"/>
          <w:jc w:val="center"/>
        </w:trPr>
        <w:tc>
          <w:tcPr>
            <w:tcW w:w="1432"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714358">
            <w:pPr>
              <w:rPr>
                <w:color w:val="000000"/>
              </w:rPr>
            </w:pPr>
            <w:proofErr w:type="spellStart"/>
            <w:r w:rsidRPr="00A40E27">
              <w:rPr>
                <w:color w:val="000000"/>
              </w:rPr>
              <w:t>ret_std</w:t>
            </w:r>
            <w:proofErr w:type="spellEnd"/>
          </w:p>
        </w:tc>
        <w:tc>
          <w:tcPr>
            <w:tcW w:w="550"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4,856</w:t>
            </w:r>
          </w:p>
        </w:tc>
        <w:tc>
          <w:tcPr>
            <w:tcW w:w="604"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0.0129</w:t>
            </w:r>
          </w:p>
        </w:tc>
        <w:tc>
          <w:tcPr>
            <w:tcW w:w="604"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0.0176</w:t>
            </w:r>
          </w:p>
        </w:tc>
        <w:tc>
          <w:tcPr>
            <w:tcW w:w="604"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0.0241</w:t>
            </w:r>
          </w:p>
        </w:tc>
        <w:tc>
          <w:tcPr>
            <w:tcW w:w="604"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0.0201</w:t>
            </w:r>
          </w:p>
        </w:tc>
        <w:tc>
          <w:tcPr>
            <w:tcW w:w="604" w:type="pct"/>
            <w:tcBorders>
              <w:top w:val="single" w:sz="8" w:space="0" w:color="auto"/>
              <w:left w:val="nil"/>
              <w:bottom w:val="single" w:sz="12" w:space="0" w:color="auto"/>
              <w:right w:val="nil"/>
            </w:tcBorders>
            <w:shd w:val="clear" w:color="auto" w:fill="auto"/>
            <w:noWrap/>
            <w:vAlign w:val="bottom"/>
            <w:hideMark/>
          </w:tcPr>
          <w:p w:rsidR="00A44F5C" w:rsidRPr="00A40E27" w:rsidRDefault="00A44F5C" w:rsidP="00B15DD8">
            <w:pPr>
              <w:jc w:val="center"/>
              <w:rPr>
                <w:color w:val="000000"/>
              </w:rPr>
            </w:pPr>
            <w:r w:rsidRPr="00A40E27">
              <w:rPr>
                <w:color w:val="000000"/>
              </w:rPr>
              <w:t>0.0166</w:t>
            </w:r>
          </w:p>
        </w:tc>
      </w:tr>
    </w:tbl>
    <w:p w:rsidR="00A44F5C" w:rsidRDefault="00A44F5C" w:rsidP="00A44F5C">
      <w:pPr>
        <w:autoSpaceDE w:val="0"/>
        <w:autoSpaceDN w:val="0"/>
        <w:adjustRightInd w:val="0"/>
        <w:rPr>
          <w:color w:val="000000"/>
        </w:rPr>
      </w:pPr>
      <w:r w:rsidRPr="00641A1A">
        <w:rPr>
          <w:color w:val="000000"/>
        </w:rPr>
        <w:t>(</w:t>
      </w:r>
      <w:proofErr w:type="gramStart"/>
      <w:r w:rsidRPr="00641A1A">
        <w:rPr>
          <w:color w:val="000000"/>
        </w:rPr>
        <w:t>continues</w:t>
      </w:r>
      <w:proofErr w:type="gramEnd"/>
      <w:r w:rsidRPr="00641A1A">
        <w:rPr>
          <w:color w:val="000000"/>
        </w:rPr>
        <w:t xml:space="preserve"> on next page)</w:t>
      </w:r>
    </w:p>
    <w:p w:rsidR="00A44F5C" w:rsidRDefault="00A44F5C" w:rsidP="00A44F5C">
      <w:pPr>
        <w:autoSpaceDE w:val="0"/>
        <w:autoSpaceDN w:val="0"/>
        <w:adjustRightInd w:val="0"/>
        <w:rPr>
          <w:color w:val="000000"/>
        </w:rPr>
      </w:pPr>
    </w:p>
    <w:p w:rsidR="00A44F5C" w:rsidRPr="00641A1A" w:rsidRDefault="00A44F5C" w:rsidP="00A44F5C">
      <w:pPr>
        <w:autoSpaceDE w:val="0"/>
        <w:autoSpaceDN w:val="0"/>
        <w:adjustRightInd w:val="0"/>
        <w:rPr>
          <w:color w:val="000000"/>
        </w:rPr>
      </w:pPr>
    </w:p>
    <w:p w:rsidR="00C9694E" w:rsidRDefault="00C9694E" w:rsidP="00A44F5C">
      <w:pPr>
        <w:autoSpaceDE w:val="0"/>
        <w:autoSpaceDN w:val="0"/>
        <w:adjustRightInd w:val="0"/>
        <w:rPr>
          <w:b/>
          <w:color w:val="000000"/>
        </w:rPr>
        <w:sectPr w:rsidR="00C9694E" w:rsidSect="00467D6A">
          <w:pgSz w:w="12240" w:h="15840"/>
          <w:pgMar w:top="1440" w:right="1440" w:bottom="1440" w:left="1440" w:header="720" w:footer="720" w:gutter="0"/>
          <w:cols w:space="720"/>
          <w:docGrid w:linePitch="360"/>
        </w:sectPr>
      </w:pPr>
    </w:p>
    <w:p w:rsidR="00A44F5C" w:rsidRPr="00A40E27" w:rsidRDefault="00A44F5C" w:rsidP="00A44F5C">
      <w:pPr>
        <w:autoSpaceDE w:val="0"/>
        <w:autoSpaceDN w:val="0"/>
        <w:adjustRightInd w:val="0"/>
        <w:rPr>
          <w:b/>
          <w:color w:val="000000"/>
        </w:rPr>
      </w:pPr>
      <w:r w:rsidRPr="00A40E27">
        <w:rPr>
          <w:b/>
          <w:color w:val="000000"/>
        </w:rPr>
        <w:lastRenderedPageBreak/>
        <w:t>Table 3</w:t>
      </w:r>
      <w:r>
        <w:rPr>
          <w:b/>
          <w:color w:val="000000"/>
        </w:rPr>
        <w:t xml:space="preserve"> (continued)</w:t>
      </w:r>
    </w:p>
    <w:p w:rsidR="00A44F5C" w:rsidRPr="00A40E27" w:rsidRDefault="00A44F5C" w:rsidP="00A44F5C">
      <w:pPr>
        <w:autoSpaceDE w:val="0"/>
        <w:autoSpaceDN w:val="0"/>
        <w:adjustRightInd w:val="0"/>
        <w:rPr>
          <w:b/>
        </w:rPr>
      </w:pPr>
      <w:r w:rsidRPr="00A40E27">
        <w:rPr>
          <w:b/>
        </w:rPr>
        <w:t xml:space="preserve">Panel C:  Descriptive </w:t>
      </w:r>
      <w:r w:rsidR="00C81DDE">
        <w:rPr>
          <w:b/>
        </w:rPr>
        <w:t>s</w:t>
      </w:r>
      <w:r w:rsidRPr="00A40E27">
        <w:rPr>
          <w:b/>
        </w:rPr>
        <w:t xml:space="preserve">tatistics by </w:t>
      </w:r>
      <w:r w:rsidR="00C81DDE">
        <w:rPr>
          <w:b/>
        </w:rPr>
        <w:t>pre-/p</w:t>
      </w:r>
      <w:r w:rsidRPr="00A40E27">
        <w:rPr>
          <w:b/>
        </w:rPr>
        <w:t>ost-</w:t>
      </w:r>
      <w:r w:rsidR="00C81DDE">
        <w:rPr>
          <w:b/>
        </w:rPr>
        <w:t>m</w:t>
      </w:r>
      <w:r w:rsidRPr="00A40E27">
        <w:rPr>
          <w:b/>
        </w:rPr>
        <w:t xml:space="preserve">erger and </w:t>
      </w:r>
      <w:r w:rsidR="00C81DDE">
        <w:rPr>
          <w:b/>
        </w:rPr>
        <w:t>s</w:t>
      </w:r>
      <w:r w:rsidRPr="00A40E27">
        <w:rPr>
          <w:b/>
        </w:rPr>
        <w:t>egment/</w:t>
      </w:r>
      <w:r w:rsidR="00C81DDE">
        <w:rPr>
          <w:b/>
        </w:rPr>
        <w:t>n</w:t>
      </w:r>
      <w:r w:rsidRPr="00A40E27">
        <w:rPr>
          <w:b/>
        </w:rPr>
        <w:t>on-</w:t>
      </w:r>
      <w:r w:rsidR="00C81DDE">
        <w:rPr>
          <w:b/>
        </w:rPr>
        <w:t>s</w:t>
      </w:r>
      <w:r w:rsidRPr="00A40E27">
        <w:rPr>
          <w:b/>
        </w:rPr>
        <w:t xml:space="preserve">egment </w:t>
      </w:r>
      <w:r w:rsidR="00C81DDE">
        <w:rPr>
          <w:b/>
        </w:rPr>
        <w:t>p</w:t>
      </w:r>
      <w:r w:rsidRPr="00A40E27">
        <w:rPr>
          <w:b/>
        </w:rPr>
        <w:t>artitions</w:t>
      </w:r>
    </w:p>
    <w:tbl>
      <w:tblPr>
        <w:tblW w:w="5000" w:type="pct"/>
        <w:jc w:val="center"/>
        <w:tblLook w:val="04A0" w:firstRow="1" w:lastRow="0" w:firstColumn="1" w:lastColumn="0" w:noHBand="0" w:noVBand="1"/>
      </w:tblPr>
      <w:tblGrid>
        <w:gridCol w:w="1823"/>
        <w:gridCol w:w="666"/>
        <w:gridCol w:w="1158"/>
        <w:gridCol w:w="1198"/>
        <w:gridCol w:w="839"/>
        <w:gridCol w:w="621"/>
        <w:gridCol w:w="1199"/>
        <w:gridCol w:w="1233"/>
        <w:gridCol w:w="839"/>
      </w:tblGrid>
      <w:tr w:rsidR="00D92020" w:rsidRPr="006A23E3" w:rsidTr="00467D6A">
        <w:trPr>
          <w:trHeight w:hRule="exact" w:val="288"/>
          <w:jc w:val="center"/>
        </w:trPr>
        <w:tc>
          <w:tcPr>
            <w:tcW w:w="650" w:type="pct"/>
            <w:gridSpan w:val="5"/>
            <w:tcBorders>
              <w:top w:val="single" w:sz="12" w:space="0" w:color="auto"/>
              <w:left w:val="nil"/>
              <w:right w:val="nil"/>
            </w:tcBorders>
            <w:shd w:val="clear" w:color="auto" w:fill="auto"/>
            <w:noWrap/>
            <w:vAlign w:val="bottom"/>
            <w:hideMark/>
          </w:tcPr>
          <w:p w:rsidR="00D92020" w:rsidRPr="006A23E3" w:rsidRDefault="00D92020" w:rsidP="00714358">
            <w:pPr>
              <w:rPr>
                <w:b/>
                <w:bCs/>
                <w:color w:val="000000"/>
                <w:u w:val="single"/>
              </w:rPr>
            </w:pPr>
            <w:r w:rsidRPr="006A23E3">
              <w:rPr>
                <w:b/>
                <w:bCs/>
                <w:color w:val="000000"/>
                <w:u w:val="single"/>
              </w:rPr>
              <w:t>Pre-merger</w:t>
            </w:r>
          </w:p>
        </w:tc>
        <w:tc>
          <w:tcPr>
            <w:tcW w:w="350" w:type="pct"/>
            <w:tcBorders>
              <w:top w:val="single" w:sz="12" w:space="0" w:color="auto"/>
              <w:left w:val="nil"/>
              <w:right w:val="nil"/>
            </w:tcBorders>
            <w:shd w:val="clear" w:color="auto" w:fill="auto"/>
            <w:noWrap/>
            <w:vAlign w:val="bottom"/>
            <w:hideMark/>
          </w:tcPr>
          <w:p w:rsidR="00D92020" w:rsidRPr="006A23E3" w:rsidRDefault="00D92020" w:rsidP="00714358">
            <w:pPr>
              <w:rPr>
                <w:color w:val="000000"/>
                <w:szCs w:val="20"/>
              </w:rPr>
            </w:pPr>
          </w:p>
        </w:tc>
        <w:tc>
          <w:tcPr>
            <w:tcW w:w="650" w:type="pct"/>
            <w:tcBorders>
              <w:top w:val="single" w:sz="12" w:space="0" w:color="auto"/>
              <w:left w:val="nil"/>
              <w:right w:val="nil"/>
            </w:tcBorders>
            <w:shd w:val="clear" w:color="auto" w:fill="auto"/>
            <w:noWrap/>
            <w:vAlign w:val="bottom"/>
            <w:hideMark/>
          </w:tcPr>
          <w:p w:rsidR="00D92020" w:rsidRPr="006A23E3" w:rsidRDefault="00D92020" w:rsidP="00714358">
            <w:pPr>
              <w:rPr>
                <w:b/>
                <w:bCs/>
                <w:color w:val="000000"/>
                <w:u w:val="single"/>
              </w:rPr>
            </w:pPr>
          </w:p>
        </w:tc>
        <w:tc>
          <w:tcPr>
            <w:tcW w:w="650" w:type="pct"/>
            <w:tcBorders>
              <w:top w:val="single" w:sz="12" w:space="0" w:color="auto"/>
              <w:left w:val="nil"/>
              <w:right w:val="nil"/>
            </w:tcBorders>
            <w:shd w:val="clear" w:color="auto" w:fill="auto"/>
            <w:noWrap/>
            <w:vAlign w:val="bottom"/>
            <w:hideMark/>
          </w:tcPr>
          <w:p w:rsidR="00D92020" w:rsidRPr="006A23E3" w:rsidRDefault="00D92020" w:rsidP="00714358">
            <w:pPr>
              <w:rPr>
                <w:b/>
                <w:bCs/>
                <w:color w:val="000000"/>
                <w:u w:val="single"/>
              </w:rPr>
            </w:pPr>
          </w:p>
        </w:tc>
        <w:tc>
          <w:tcPr>
            <w:tcW w:w="350" w:type="pct"/>
            <w:tcBorders>
              <w:top w:val="single" w:sz="12" w:space="0" w:color="auto"/>
              <w:left w:val="nil"/>
              <w:right w:val="nil"/>
            </w:tcBorders>
            <w:shd w:val="clear" w:color="auto" w:fill="auto"/>
            <w:noWrap/>
            <w:vAlign w:val="bottom"/>
            <w:hideMark/>
          </w:tcPr>
          <w:p w:rsidR="00D92020" w:rsidRPr="006A23E3" w:rsidRDefault="00D92020" w:rsidP="00714358">
            <w:pPr>
              <w:rPr>
                <w:color w:val="000000"/>
                <w:szCs w:val="20"/>
              </w:rPr>
            </w:pPr>
          </w:p>
        </w:tc>
      </w:tr>
      <w:tr w:rsidR="00D92020" w:rsidRPr="006A23E3" w:rsidTr="00467D6A">
        <w:trPr>
          <w:trHeight w:val="300"/>
          <w:jc w:val="center"/>
        </w:trPr>
        <w:tc>
          <w:tcPr>
            <w:tcW w:w="975" w:type="pct"/>
            <w:tcBorders>
              <w:left w:val="nil"/>
              <w:bottom w:val="nil"/>
              <w:right w:val="nil"/>
            </w:tcBorders>
            <w:shd w:val="clear" w:color="auto" w:fill="auto"/>
            <w:noWrap/>
            <w:vAlign w:val="bottom"/>
            <w:hideMark/>
          </w:tcPr>
          <w:p w:rsidR="00D92020" w:rsidRPr="006A23E3" w:rsidRDefault="00D92020" w:rsidP="00714358">
            <w:pPr>
              <w:rPr>
                <w:color w:val="000000"/>
                <w:szCs w:val="20"/>
              </w:rPr>
            </w:pPr>
          </w:p>
        </w:tc>
        <w:tc>
          <w:tcPr>
            <w:tcW w:w="650" w:type="pct"/>
            <w:gridSpan w:val="4"/>
            <w:tcBorders>
              <w:left w:val="nil"/>
              <w:bottom w:val="single" w:sz="4" w:space="0" w:color="auto"/>
              <w:right w:val="nil"/>
            </w:tcBorders>
            <w:shd w:val="clear" w:color="auto" w:fill="auto"/>
            <w:noWrap/>
            <w:vAlign w:val="bottom"/>
            <w:hideMark/>
          </w:tcPr>
          <w:p w:rsidR="00D92020" w:rsidRPr="006A23E3" w:rsidRDefault="00D92020" w:rsidP="00714358">
            <w:pPr>
              <w:jc w:val="center"/>
              <w:rPr>
                <w:b/>
                <w:color w:val="000000"/>
                <w:szCs w:val="20"/>
              </w:rPr>
            </w:pPr>
            <w:r w:rsidRPr="006A23E3">
              <w:rPr>
                <w:b/>
                <w:color w:val="000000"/>
                <w:szCs w:val="20"/>
              </w:rPr>
              <w:t>Non-segment</w:t>
            </w:r>
          </w:p>
        </w:tc>
        <w:tc>
          <w:tcPr>
            <w:tcW w:w="650" w:type="pct"/>
            <w:gridSpan w:val="4"/>
            <w:tcBorders>
              <w:left w:val="nil"/>
              <w:bottom w:val="single" w:sz="4" w:space="0" w:color="auto"/>
              <w:right w:val="nil"/>
            </w:tcBorders>
            <w:shd w:val="clear" w:color="auto" w:fill="auto"/>
            <w:noWrap/>
            <w:vAlign w:val="bottom"/>
            <w:hideMark/>
          </w:tcPr>
          <w:p w:rsidR="00D92020" w:rsidRPr="006A23E3" w:rsidRDefault="00D92020" w:rsidP="00714358">
            <w:pPr>
              <w:jc w:val="center"/>
              <w:rPr>
                <w:b/>
                <w:color w:val="000000"/>
                <w:szCs w:val="20"/>
              </w:rPr>
            </w:pPr>
            <w:r w:rsidRPr="006A23E3">
              <w:rPr>
                <w:b/>
                <w:color w:val="000000"/>
                <w:szCs w:val="20"/>
              </w:rPr>
              <w:t>Segment</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Cs w:val="20"/>
              </w:rPr>
            </w:pPr>
          </w:p>
        </w:tc>
        <w:tc>
          <w:tcPr>
            <w:tcW w:w="350" w:type="pct"/>
            <w:tcBorders>
              <w:top w:val="nil"/>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N</w:t>
            </w:r>
          </w:p>
        </w:tc>
        <w:tc>
          <w:tcPr>
            <w:tcW w:w="650" w:type="pct"/>
            <w:tcBorders>
              <w:top w:val="nil"/>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Mean</w:t>
            </w:r>
          </w:p>
        </w:tc>
        <w:tc>
          <w:tcPr>
            <w:tcW w:w="650" w:type="pct"/>
            <w:tcBorders>
              <w:top w:val="nil"/>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Median</w:t>
            </w:r>
          </w:p>
        </w:tc>
        <w:tc>
          <w:tcPr>
            <w:tcW w:w="350" w:type="pct"/>
            <w:tcBorders>
              <w:top w:val="nil"/>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proofErr w:type="spellStart"/>
            <w:r w:rsidRPr="00D92020">
              <w:rPr>
                <w:b/>
                <w:color w:val="000000"/>
                <w:sz w:val="20"/>
                <w:szCs w:val="20"/>
              </w:rPr>
              <w:t>StdDev</w:t>
            </w:r>
            <w:proofErr w:type="spellEnd"/>
          </w:p>
        </w:tc>
        <w:tc>
          <w:tcPr>
            <w:tcW w:w="350" w:type="pct"/>
            <w:tcBorders>
              <w:top w:val="single" w:sz="4" w:space="0" w:color="auto"/>
              <w:left w:val="single" w:sz="4" w:space="0" w:color="auto"/>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N</w:t>
            </w:r>
          </w:p>
        </w:tc>
        <w:tc>
          <w:tcPr>
            <w:tcW w:w="650" w:type="pct"/>
            <w:tcBorders>
              <w:top w:val="single" w:sz="4" w:space="0" w:color="auto"/>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Mean</w:t>
            </w:r>
          </w:p>
        </w:tc>
        <w:tc>
          <w:tcPr>
            <w:tcW w:w="650" w:type="pct"/>
            <w:tcBorders>
              <w:top w:val="single" w:sz="4" w:space="0" w:color="auto"/>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r w:rsidRPr="00D92020">
              <w:rPr>
                <w:b/>
                <w:color w:val="000000"/>
                <w:sz w:val="20"/>
                <w:szCs w:val="20"/>
              </w:rPr>
              <w:t>Median</w:t>
            </w:r>
          </w:p>
        </w:tc>
        <w:tc>
          <w:tcPr>
            <w:tcW w:w="350" w:type="pct"/>
            <w:tcBorders>
              <w:top w:val="single" w:sz="4" w:space="0" w:color="auto"/>
              <w:left w:val="nil"/>
              <w:bottom w:val="single" w:sz="4" w:space="0" w:color="auto"/>
              <w:right w:val="nil"/>
            </w:tcBorders>
            <w:shd w:val="clear" w:color="auto" w:fill="auto"/>
            <w:noWrap/>
            <w:vAlign w:val="bottom"/>
            <w:hideMark/>
          </w:tcPr>
          <w:p w:rsidR="00D92020" w:rsidRPr="00D92020" w:rsidRDefault="00D92020" w:rsidP="00714358">
            <w:pPr>
              <w:jc w:val="center"/>
              <w:rPr>
                <w:b/>
                <w:color w:val="000000"/>
                <w:sz w:val="20"/>
                <w:szCs w:val="20"/>
              </w:rPr>
            </w:pPr>
            <w:proofErr w:type="spellStart"/>
            <w:r w:rsidRPr="00D92020">
              <w:rPr>
                <w:b/>
                <w:color w:val="000000"/>
                <w:sz w:val="20"/>
                <w:szCs w:val="20"/>
              </w:rPr>
              <w:t>StdDev</w:t>
            </w:r>
            <w:proofErr w:type="spellEnd"/>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Return</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0.3275</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0.0194</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1.3903</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0.4990*</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0.0085</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1.8450</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proofErr w:type="spellStart"/>
            <w:r>
              <w:rPr>
                <w:color w:val="000000"/>
                <w:sz w:val="20"/>
              </w:rPr>
              <w:t>NI</w:t>
            </w:r>
            <w:r w:rsidRPr="006A23E3">
              <w:rPr>
                <w:color w:val="000000"/>
                <w:sz w:val="20"/>
              </w:rPr>
              <w:t>_</w:t>
            </w:r>
            <w:r>
              <w:rPr>
                <w:color w:val="000000"/>
                <w:sz w:val="20"/>
              </w:rPr>
              <w:t>A</w:t>
            </w:r>
            <w:r w:rsidRPr="006A23E3">
              <w:rPr>
                <w:color w:val="000000"/>
                <w:sz w:val="20"/>
              </w:rPr>
              <w:t>ssets</w:t>
            </w:r>
            <w:proofErr w:type="spellEnd"/>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0.0284</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0.0309</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0.0741</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0.0311</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0.0390***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0.0698</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proofErr w:type="spellStart"/>
            <w:r>
              <w:rPr>
                <w:color w:val="000000"/>
                <w:sz w:val="20"/>
              </w:rPr>
              <w:t>OCF</w:t>
            </w:r>
            <w:r w:rsidRPr="006A23E3">
              <w:rPr>
                <w:color w:val="000000"/>
                <w:sz w:val="20"/>
              </w:rPr>
              <w:t>_</w:t>
            </w:r>
            <w:r>
              <w:rPr>
                <w:color w:val="000000"/>
                <w:sz w:val="20"/>
              </w:rPr>
              <w:t>A</w:t>
            </w:r>
            <w:r w:rsidRPr="006A23E3">
              <w:rPr>
                <w:color w:val="000000"/>
                <w:sz w:val="20"/>
              </w:rPr>
              <w:t>ssets</w:t>
            </w:r>
            <w:proofErr w:type="spellEnd"/>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0.0807</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0.0800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0.0896</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0.0718*</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0.0735*</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0.0979</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proofErr w:type="spellStart"/>
            <w:r>
              <w:rPr>
                <w:color w:val="000000"/>
                <w:sz w:val="20"/>
              </w:rPr>
              <w:t>A</w:t>
            </w:r>
            <w:r w:rsidRPr="006A23E3">
              <w:rPr>
                <w:color w:val="000000"/>
                <w:sz w:val="20"/>
              </w:rPr>
              <w:t>ccruals_</w:t>
            </w:r>
            <w:r>
              <w:rPr>
                <w:color w:val="000000"/>
                <w:sz w:val="20"/>
              </w:rPr>
              <w:t>A</w:t>
            </w:r>
            <w:r w:rsidRPr="006A23E3">
              <w:rPr>
                <w:color w:val="000000"/>
                <w:sz w:val="20"/>
              </w:rPr>
              <w:t>ssets</w:t>
            </w:r>
            <w:proofErr w:type="spellEnd"/>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-0.0523</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-0.0489</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0.0810</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-0.0407**</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-0.0392***</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0.0947</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tcPr>
          <w:p w:rsidR="00D92020" w:rsidRPr="006A23E3" w:rsidRDefault="00D92020" w:rsidP="00714358">
            <w:pPr>
              <w:rPr>
                <w:color w:val="000000"/>
                <w:sz w:val="20"/>
              </w:rPr>
            </w:pPr>
            <w:proofErr w:type="spellStart"/>
            <w:r>
              <w:rPr>
                <w:color w:val="000000"/>
                <w:sz w:val="20"/>
              </w:rPr>
              <w:t>mn_bidask</w:t>
            </w:r>
            <w:proofErr w:type="spellEnd"/>
          </w:p>
        </w:tc>
        <w:tc>
          <w:tcPr>
            <w:tcW w:w="350" w:type="pct"/>
            <w:tcBorders>
              <w:top w:val="nil"/>
              <w:left w:val="nil"/>
              <w:bottom w:val="nil"/>
              <w:right w:val="nil"/>
            </w:tcBorders>
            <w:shd w:val="clear" w:color="auto" w:fill="auto"/>
            <w:noWrap/>
            <w:vAlign w:val="bottom"/>
          </w:tcPr>
          <w:p w:rsidR="00D92020" w:rsidRPr="006A23E3" w:rsidRDefault="00D92020" w:rsidP="00714358">
            <w:pPr>
              <w:jc w:val="right"/>
              <w:rPr>
                <w:sz w:val="20"/>
              </w:rPr>
            </w:pPr>
            <w:r>
              <w:rPr>
                <w:sz w:val="20"/>
              </w:rPr>
              <w:t>1.570</w:t>
            </w:r>
          </w:p>
        </w:tc>
        <w:tc>
          <w:tcPr>
            <w:tcW w:w="650" w:type="pct"/>
            <w:tcBorders>
              <w:top w:val="nil"/>
              <w:left w:val="nil"/>
              <w:bottom w:val="nil"/>
              <w:right w:val="nil"/>
            </w:tcBorders>
            <w:shd w:val="clear" w:color="auto" w:fill="auto"/>
            <w:noWrap/>
            <w:vAlign w:val="bottom"/>
          </w:tcPr>
          <w:p w:rsidR="00D92020" w:rsidRPr="006A23E3" w:rsidRDefault="00D92020" w:rsidP="00B15DD8">
            <w:pPr>
              <w:jc w:val="center"/>
              <w:rPr>
                <w:sz w:val="20"/>
              </w:rPr>
            </w:pPr>
            <w:r>
              <w:rPr>
                <w:sz w:val="20"/>
              </w:rPr>
              <w:t>0.0319</w:t>
            </w:r>
          </w:p>
        </w:tc>
        <w:tc>
          <w:tcPr>
            <w:tcW w:w="650" w:type="pct"/>
            <w:tcBorders>
              <w:top w:val="nil"/>
              <w:left w:val="nil"/>
              <w:bottom w:val="nil"/>
              <w:right w:val="nil"/>
            </w:tcBorders>
            <w:shd w:val="clear" w:color="auto" w:fill="auto"/>
            <w:noWrap/>
            <w:vAlign w:val="bottom"/>
          </w:tcPr>
          <w:p w:rsidR="00D92020" w:rsidRPr="006A23E3" w:rsidRDefault="00D92020" w:rsidP="00B15DD8">
            <w:pPr>
              <w:jc w:val="center"/>
              <w:rPr>
                <w:sz w:val="20"/>
              </w:rPr>
            </w:pPr>
            <w:r>
              <w:rPr>
                <w:sz w:val="20"/>
              </w:rPr>
              <w:t>0.0180</w:t>
            </w:r>
          </w:p>
        </w:tc>
        <w:tc>
          <w:tcPr>
            <w:tcW w:w="350" w:type="pct"/>
            <w:tcBorders>
              <w:top w:val="nil"/>
              <w:left w:val="nil"/>
              <w:bottom w:val="nil"/>
              <w:right w:val="nil"/>
            </w:tcBorders>
            <w:shd w:val="clear" w:color="auto" w:fill="auto"/>
            <w:noWrap/>
            <w:vAlign w:val="bottom"/>
          </w:tcPr>
          <w:p w:rsidR="00D92020" w:rsidRPr="006A23E3" w:rsidRDefault="00D92020" w:rsidP="00714358">
            <w:pPr>
              <w:jc w:val="right"/>
              <w:rPr>
                <w:sz w:val="20"/>
              </w:rPr>
            </w:pPr>
            <w:r>
              <w:rPr>
                <w:sz w:val="20"/>
              </w:rPr>
              <w:t>0.0440</w:t>
            </w:r>
          </w:p>
        </w:tc>
        <w:tc>
          <w:tcPr>
            <w:tcW w:w="350" w:type="pct"/>
            <w:tcBorders>
              <w:top w:val="nil"/>
              <w:left w:val="single" w:sz="4" w:space="0" w:color="auto"/>
              <w:bottom w:val="nil"/>
              <w:right w:val="nil"/>
            </w:tcBorders>
            <w:shd w:val="clear" w:color="auto" w:fill="auto"/>
            <w:noWrap/>
            <w:vAlign w:val="bottom"/>
          </w:tcPr>
          <w:p w:rsidR="00D92020" w:rsidRPr="006A23E3" w:rsidRDefault="00D92020" w:rsidP="00714358">
            <w:pPr>
              <w:jc w:val="right"/>
              <w:rPr>
                <w:sz w:val="20"/>
              </w:rPr>
            </w:pPr>
            <w:r>
              <w:rPr>
                <w:sz w:val="20"/>
              </w:rPr>
              <w:t>485</w:t>
            </w:r>
          </w:p>
        </w:tc>
        <w:tc>
          <w:tcPr>
            <w:tcW w:w="650" w:type="pct"/>
            <w:tcBorders>
              <w:top w:val="nil"/>
              <w:left w:val="nil"/>
              <w:bottom w:val="nil"/>
              <w:right w:val="nil"/>
            </w:tcBorders>
            <w:shd w:val="clear" w:color="auto" w:fill="auto"/>
            <w:noWrap/>
            <w:vAlign w:val="bottom"/>
          </w:tcPr>
          <w:p w:rsidR="00D92020" w:rsidRPr="006A23E3" w:rsidRDefault="00FA5FF3" w:rsidP="00B15DD8">
            <w:pPr>
              <w:jc w:val="center"/>
              <w:rPr>
                <w:sz w:val="20"/>
              </w:rPr>
            </w:pPr>
            <w:r>
              <w:rPr>
                <w:sz w:val="20"/>
              </w:rPr>
              <w:t xml:space="preserve"> </w:t>
            </w:r>
            <w:r w:rsidR="00D92020">
              <w:rPr>
                <w:sz w:val="20"/>
              </w:rPr>
              <w:t>0.0192***</w:t>
            </w:r>
          </w:p>
        </w:tc>
        <w:tc>
          <w:tcPr>
            <w:tcW w:w="650" w:type="pct"/>
            <w:tcBorders>
              <w:top w:val="nil"/>
              <w:left w:val="nil"/>
              <w:bottom w:val="nil"/>
              <w:right w:val="nil"/>
            </w:tcBorders>
            <w:shd w:val="clear" w:color="auto" w:fill="auto"/>
            <w:noWrap/>
            <w:vAlign w:val="bottom"/>
          </w:tcPr>
          <w:p w:rsidR="00D92020" w:rsidRPr="006A23E3" w:rsidRDefault="00FA5FF3" w:rsidP="00B15DD8">
            <w:pPr>
              <w:jc w:val="center"/>
              <w:rPr>
                <w:sz w:val="20"/>
              </w:rPr>
            </w:pPr>
            <w:r>
              <w:rPr>
                <w:sz w:val="20"/>
              </w:rPr>
              <w:t xml:space="preserve">   </w:t>
            </w:r>
            <w:r w:rsidR="00D92020">
              <w:rPr>
                <w:sz w:val="20"/>
              </w:rPr>
              <w:t>0.0160***</w:t>
            </w:r>
          </w:p>
        </w:tc>
        <w:tc>
          <w:tcPr>
            <w:tcW w:w="350" w:type="pct"/>
            <w:tcBorders>
              <w:top w:val="nil"/>
              <w:left w:val="nil"/>
              <w:bottom w:val="nil"/>
              <w:right w:val="nil"/>
            </w:tcBorders>
            <w:shd w:val="clear" w:color="auto" w:fill="auto"/>
            <w:noWrap/>
            <w:vAlign w:val="bottom"/>
          </w:tcPr>
          <w:p w:rsidR="00D92020" w:rsidRPr="006A23E3" w:rsidRDefault="00D92020" w:rsidP="00714358">
            <w:pPr>
              <w:jc w:val="right"/>
              <w:rPr>
                <w:sz w:val="20"/>
              </w:rPr>
            </w:pPr>
            <w:r>
              <w:rPr>
                <w:sz w:val="20"/>
              </w:rPr>
              <w:t>0.0210</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proofErr w:type="spellStart"/>
            <w:r w:rsidRPr="006A23E3">
              <w:rPr>
                <w:color w:val="000000"/>
                <w:sz w:val="20"/>
              </w:rPr>
              <w:t>perc_zeroret</w:t>
            </w:r>
            <w:proofErr w:type="spellEnd"/>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0.3175</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0.1456</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0.3330</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0.1814***</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0.1154***</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0.1873</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Size</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5.5003</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5.3360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2.4296</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5.3212**</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5.2548</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1.3123</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Sales Growth</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0.0962</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0.0510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0.2758</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0.1684***</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0.1043***</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0.3259</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Leverage</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0.6204</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0.6310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0.1653</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0.5840***</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0.6010***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0.1806</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Turn</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1.1273</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1.0677</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0.5854</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1.1968**</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1.1563**</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0.6333</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Auditor</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0.5369</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1.0000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0.4988</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0.6474***</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1.0000***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0.4783</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USGAAP_IFRS</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0.0242</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0.1537</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0.0124*</w:t>
            </w:r>
          </w:p>
        </w:tc>
        <w:tc>
          <w:tcPr>
            <w:tcW w:w="650" w:type="pct"/>
            <w:tcBorders>
              <w:top w:val="nil"/>
              <w:left w:val="nil"/>
              <w:bottom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0.1106</w:t>
            </w:r>
          </w:p>
        </w:tc>
      </w:tr>
      <w:tr w:rsidR="00D92020" w:rsidRPr="006A23E3" w:rsidTr="00467D6A">
        <w:trPr>
          <w:trHeight w:hRule="exact" w:val="389"/>
          <w:jc w:val="center"/>
        </w:trPr>
        <w:tc>
          <w:tcPr>
            <w:tcW w:w="975" w:type="pct"/>
            <w:tcBorders>
              <w:top w:val="nil"/>
              <w:left w:val="nil"/>
              <w:bottom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USCROSSLISTED</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0.0204</w:t>
            </w:r>
          </w:p>
        </w:tc>
        <w:tc>
          <w:tcPr>
            <w:tcW w:w="650" w:type="pct"/>
            <w:tcBorders>
              <w:top w:val="nil"/>
              <w:left w:val="nil"/>
              <w:bottom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0.1413</w:t>
            </w:r>
          </w:p>
        </w:tc>
        <w:tc>
          <w:tcPr>
            <w:tcW w:w="350" w:type="pct"/>
            <w:tcBorders>
              <w:top w:val="nil"/>
              <w:left w:val="single" w:sz="4" w:space="0" w:color="auto"/>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0.0021***</w:t>
            </w:r>
          </w:p>
        </w:tc>
        <w:tc>
          <w:tcPr>
            <w:tcW w:w="650" w:type="pct"/>
            <w:tcBorders>
              <w:top w:val="nil"/>
              <w:left w:val="nil"/>
              <w:bottom w:val="nil"/>
              <w:right w:val="nil"/>
            </w:tcBorders>
            <w:shd w:val="clear" w:color="auto" w:fill="auto"/>
            <w:noWrap/>
            <w:vAlign w:val="bottom"/>
            <w:hideMark/>
          </w:tcPr>
          <w:p w:rsidR="00D92020" w:rsidRPr="006A23E3" w:rsidRDefault="00FA5FF3" w:rsidP="00B15DD8">
            <w:pPr>
              <w:jc w:val="center"/>
              <w:rPr>
                <w:color w:val="000000"/>
                <w:sz w:val="20"/>
              </w:rPr>
            </w:pPr>
            <w:r>
              <w:rPr>
                <w:sz w:val="20"/>
              </w:rPr>
              <w:t xml:space="preserve">   </w:t>
            </w:r>
            <w:r w:rsidR="00D92020" w:rsidRPr="006A23E3">
              <w:rPr>
                <w:sz w:val="20"/>
              </w:rPr>
              <w:t>0.0000***</w:t>
            </w:r>
          </w:p>
        </w:tc>
        <w:tc>
          <w:tcPr>
            <w:tcW w:w="350" w:type="pct"/>
            <w:tcBorders>
              <w:top w:val="nil"/>
              <w:left w:val="nil"/>
              <w:bottom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0.0454</w:t>
            </w:r>
          </w:p>
        </w:tc>
      </w:tr>
      <w:tr w:rsidR="00D92020" w:rsidRPr="006A23E3" w:rsidTr="00467D6A">
        <w:trPr>
          <w:trHeight w:hRule="exact" w:val="389"/>
          <w:jc w:val="center"/>
        </w:trPr>
        <w:tc>
          <w:tcPr>
            <w:tcW w:w="975" w:type="pct"/>
            <w:tcBorders>
              <w:top w:val="nil"/>
              <w:left w:val="nil"/>
              <w:right w:val="nil"/>
            </w:tcBorders>
            <w:shd w:val="clear" w:color="auto" w:fill="auto"/>
            <w:noWrap/>
            <w:vAlign w:val="bottom"/>
            <w:hideMark/>
          </w:tcPr>
          <w:p w:rsidR="00D92020" w:rsidRPr="006A23E3" w:rsidRDefault="00D92020" w:rsidP="00714358">
            <w:pPr>
              <w:rPr>
                <w:color w:val="000000"/>
                <w:sz w:val="20"/>
              </w:rPr>
            </w:pPr>
            <w:r w:rsidRPr="006A23E3">
              <w:rPr>
                <w:color w:val="000000"/>
                <w:sz w:val="20"/>
              </w:rPr>
              <w:t xml:space="preserve"># </w:t>
            </w:r>
            <w:proofErr w:type="spellStart"/>
            <w:r w:rsidRPr="006A23E3">
              <w:rPr>
                <w:color w:val="000000"/>
                <w:sz w:val="20"/>
              </w:rPr>
              <w:t>FExchanges</w:t>
            </w:r>
            <w:proofErr w:type="spellEnd"/>
          </w:p>
        </w:tc>
        <w:tc>
          <w:tcPr>
            <w:tcW w:w="350" w:type="pct"/>
            <w:tcBorders>
              <w:top w:val="nil"/>
              <w:left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1,570</w:t>
            </w:r>
          </w:p>
        </w:tc>
        <w:tc>
          <w:tcPr>
            <w:tcW w:w="650" w:type="pct"/>
            <w:tcBorders>
              <w:top w:val="nil"/>
              <w:left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0.2688</w:t>
            </w:r>
          </w:p>
        </w:tc>
        <w:tc>
          <w:tcPr>
            <w:tcW w:w="650" w:type="pct"/>
            <w:tcBorders>
              <w:top w:val="nil"/>
              <w:left w:val="nil"/>
              <w:right w:val="nil"/>
            </w:tcBorders>
            <w:shd w:val="clear" w:color="auto" w:fill="auto"/>
            <w:noWrap/>
            <w:vAlign w:val="bottom"/>
            <w:hideMark/>
          </w:tcPr>
          <w:p w:rsidR="00D92020" w:rsidRPr="006A23E3" w:rsidRDefault="00D92020" w:rsidP="00B15DD8">
            <w:pPr>
              <w:jc w:val="center"/>
              <w:rPr>
                <w:color w:val="000000"/>
                <w:sz w:val="20"/>
              </w:rPr>
            </w:pPr>
            <w:r w:rsidRPr="006A23E3">
              <w:rPr>
                <w:sz w:val="20"/>
              </w:rPr>
              <w:t>0.0000</w:t>
            </w:r>
          </w:p>
        </w:tc>
        <w:tc>
          <w:tcPr>
            <w:tcW w:w="350" w:type="pct"/>
            <w:tcBorders>
              <w:top w:val="nil"/>
              <w:left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0.8921</w:t>
            </w:r>
          </w:p>
        </w:tc>
        <w:tc>
          <w:tcPr>
            <w:tcW w:w="350" w:type="pct"/>
            <w:tcBorders>
              <w:top w:val="nil"/>
              <w:left w:val="single" w:sz="4" w:space="0" w:color="auto"/>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485</w:t>
            </w:r>
          </w:p>
        </w:tc>
        <w:tc>
          <w:tcPr>
            <w:tcW w:w="650" w:type="pct"/>
            <w:tcBorders>
              <w:top w:val="nil"/>
              <w:left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0.2082</w:t>
            </w:r>
          </w:p>
        </w:tc>
        <w:tc>
          <w:tcPr>
            <w:tcW w:w="650" w:type="pct"/>
            <w:tcBorders>
              <w:top w:val="nil"/>
              <w:left w:val="nil"/>
              <w:right w:val="nil"/>
            </w:tcBorders>
            <w:shd w:val="clear" w:color="auto" w:fill="auto"/>
            <w:noWrap/>
            <w:vAlign w:val="bottom"/>
            <w:hideMark/>
          </w:tcPr>
          <w:p w:rsidR="00D92020" w:rsidRPr="006A23E3" w:rsidRDefault="00FA5FF3" w:rsidP="00FA5FF3">
            <w:pPr>
              <w:rPr>
                <w:color w:val="000000"/>
                <w:sz w:val="20"/>
              </w:rPr>
            </w:pPr>
            <w:r>
              <w:rPr>
                <w:sz w:val="20"/>
              </w:rPr>
              <w:t xml:space="preserve">   </w:t>
            </w:r>
            <w:r w:rsidR="00D92020" w:rsidRPr="006A23E3">
              <w:rPr>
                <w:sz w:val="20"/>
              </w:rPr>
              <w:t>0.0000</w:t>
            </w:r>
          </w:p>
        </w:tc>
        <w:tc>
          <w:tcPr>
            <w:tcW w:w="350" w:type="pct"/>
            <w:tcBorders>
              <w:top w:val="nil"/>
              <w:left w:val="nil"/>
              <w:right w:val="nil"/>
            </w:tcBorders>
            <w:shd w:val="clear" w:color="auto" w:fill="auto"/>
            <w:noWrap/>
            <w:vAlign w:val="bottom"/>
            <w:hideMark/>
          </w:tcPr>
          <w:p w:rsidR="00D92020" w:rsidRPr="006A23E3" w:rsidRDefault="00D92020" w:rsidP="00714358">
            <w:pPr>
              <w:jc w:val="right"/>
              <w:rPr>
                <w:color w:val="000000"/>
                <w:sz w:val="20"/>
              </w:rPr>
            </w:pPr>
            <w:r w:rsidRPr="006A23E3">
              <w:rPr>
                <w:sz w:val="20"/>
              </w:rPr>
              <w:t>0.7357</w:t>
            </w:r>
          </w:p>
        </w:tc>
      </w:tr>
      <w:tr w:rsidR="00D92020" w:rsidRPr="006A23E3" w:rsidTr="00467D6A">
        <w:trPr>
          <w:trHeight w:hRule="exact" w:val="389"/>
          <w:jc w:val="center"/>
        </w:trPr>
        <w:tc>
          <w:tcPr>
            <w:tcW w:w="975" w:type="pct"/>
            <w:tcBorders>
              <w:top w:val="nil"/>
              <w:left w:val="nil"/>
              <w:right w:val="nil"/>
            </w:tcBorders>
            <w:shd w:val="clear" w:color="auto" w:fill="auto"/>
            <w:noWrap/>
            <w:vAlign w:val="bottom"/>
            <w:hideMark/>
          </w:tcPr>
          <w:p w:rsidR="00D92020" w:rsidRPr="006A23E3" w:rsidRDefault="00D92020" w:rsidP="00714358">
            <w:pPr>
              <w:rPr>
                <w:color w:val="000000"/>
                <w:sz w:val="20"/>
              </w:rPr>
            </w:pPr>
            <w:proofErr w:type="spellStart"/>
            <w:r w:rsidRPr="006A23E3">
              <w:rPr>
                <w:color w:val="000000"/>
                <w:sz w:val="20"/>
              </w:rPr>
              <w:t>re</w:t>
            </w:r>
            <w:r>
              <w:rPr>
                <w:color w:val="000000"/>
                <w:sz w:val="20"/>
              </w:rPr>
              <w:t>t</w:t>
            </w:r>
            <w:r w:rsidRPr="006A23E3">
              <w:rPr>
                <w:color w:val="000000"/>
                <w:sz w:val="20"/>
              </w:rPr>
              <w:t>_std</w:t>
            </w:r>
            <w:proofErr w:type="spellEnd"/>
          </w:p>
        </w:tc>
        <w:tc>
          <w:tcPr>
            <w:tcW w:w="350" w:type="pct"/>
            <w:tcBorders>
              <w:top w:val="nil"/>
              <w:left w:val="nil"/>
              <w:right w:val="nil"/>
            </w:tcBorders>
            <w:shd w:val="clear" w:color="auto" w:fill="auto"/>
            <w:noWrap/>
            <w:vAlign w:val="bottom"/>
            <w:hideMark/>
          </w:tcPr>
          <w:p w:rsidR="00D92020" w:rsidRPr="006A23E3" w:rsidRDefault="00D92020" w:rsidP="00714358">
            <w:pPr>
              <w:jc w:val="right"/>
              <w:rPr>
                <w:sz w:val="20"/>
              </w:rPr>
            </w:pPr>
            <w:r w:rsidRPr="006A23E3">
              <w:rPr>
                <w:sz w:val="20"/>
              </w:rPr>
              <w:t>1,570</w:t>
            </w:r>
          </w:p>
        </w:tc>
        <w:tc>
          <w:tcPr>
            <w:tcW w:w="650" w:type="pct"/>
            <w:tcBorders>
              <w:top w:val="nil"/>
              <w:left w:val="nil"/>
              <w:right w:val="nil"/>
            </w:tcBorders>
            <w:shd w:val="clear" w:color="auto" w:fill="auto"/>
            <w:noWrap/>
            <w:vAlign w:val="bottom"/>
            <w:hideMark/>
          </w:tcPr>
          <w:p w:rsidR="00D92020" w:rsidRPr="006A23E3" w:rsidRDefault="00D92020" w:rsidP="00B15DD8">
            <w:pPr>
              <w:jc w:val="center"/>
              <w:rPr>
                <w:sz w:val="20"/>
              </w:rPr>
            </w:pPr>
            <w:r w:rsidRPr="006A23E3">
              <w:rPr>
                <w:sz w:val="20"/>
              </w:rPr>
              <w:t>0.0205</w:t>
            </w:r>
          </w:p>
        </w:tc>
        <w:tc>
          <w:tcPr>
            <w:tcW w:w="650" w:type="pct"/>
            <w:tcBorders>
              <w:top w:val="nil"/>
              <w:left w:val="nil"/>
              <w:right w:val="nil"/>
            </w:tcBorders>
            <w:shd w:val="clear" w:color="auto" w:fill="auto"/>
            <w:noWrap/>
            <w:vAlign w:val="bottom"/>
            <w:hideMark/>
          </w:tcPr>
          <w:p w:rsidR="00D92020" w:rsidRPr="006A23E3" w:rsidRDefault="00D92020" w:rsidP="00B15DD8">
            <w:pPr>
              <w:jc w:val="center"/>
              <w:rPr>
                <w:sz w:val="20"/>
              </w:rPr>
            </w:pPr>
            <w:r w:rsidRPr="006A23E3">
              <w:rPr>
                <w:sz w:val="20"/>
              </w:rPr>
              <w:t>0.0182</w:t>
            </w:r>
          </w:p>
        </w:tc>
        <w:tc>
          <w:tcPr>
            <w:tcW w:w="350" w:type="pct"/>
            <w:tcBorders>
              <w:top w:val="nil"/>
              <w:left w:val="nil"/>
              <w:right w:val="nil"/>
            </w:tcBorders>
            <w:shd w:val="clear" w:color="auto" w:fill="auto"/>
            <w:noWrap/>
            <w:vAlign w:val="bottom"/>
            <w:hideMark/>
          </w:tcPr>
          <w:p w:rsidR="00D92020" w:rsidRPr="006A23E3" w:rsidRDefault="00D92020" w:rsidP="00714358">
            <w:pPr>
              <w:jc w:val="right"/>
              <w:rPr>
                <w:sz w:val="20"/>
              </w:rPr>
            </w:pPr>
            <w:r w:rsidRPr="006A23E3">
              <w:rPr>
                <w:sz w:val="20"/>
              </w:rPr>
              <w:t>0.0207</w:t>
            </w:r>
          </w:p>
        </w:tc>
        <w:tc>
          <w:tcPr>
            <w:tcW w:w="350" w:type="pct"/>
            <w:tcBorders>
              <w:top w:val="nil"/>
              <w:left w:val="single" w:sz="4" w:space="0" w:color="auto"/>
              <w:right w:val="nil"/>
            </w:tcBorders>
            <w:shd w:val="clear" w:color="auto" w:fill="auto"/>
            <w:noWrap/>
            <w:vAlign w:val="bottom"/>
            <w:hideMark/>
          </w:tcPr>
          <w:p w:rsidR="00D92020" w:rsidRPr="006A23E3" w:rsidRDefault="00D92020" w:rsidP="00714358">
            <w:pPr>
              <w:jc w:val="right"/>
              <w:rPr>
                <w:sz w:val="20"/>
              </w:rPr>
            </w:pPr>
            <w:r w:rsidRPr="006A23E3">
              <w:rPr>
                <w:sz w:val="20"/>
              </w:rPr>
              <w:t>485</w:t>
            </w:r>
          </w:p>
        </w:tc>
        <w:tc>
          <w:tcPr>
            <w:tcW w:w="650" w:type="pct"/>
            <w:tcBorders>
              <w:top w:val="nil"/>
              <w:left w:val="nil"/>
              <w:right w:val="nil"/>
            </w:tcBorders>
            <w:shd w:val="clear" w:color="auto" w:fill="auto"/>
            <w:noWrap/>
            <w:vAlign w:val="bottom"/>
            <w:hideMark/>
          </w:tcPr>
          <w:p w:rsidR="00D92020" w:rsidRPr="006A23E3" w:rsidRDefault="00FA5FF3" w:rsidP="00FA5FF3">
            <w:pPr>
              <w:rPr>
                <w:sz w:val="20"/>
              </w:rPr>
            </w:pPr>
            <w:r>
              <w:rPr>
                <w:sz w:val="20"/>
              </w:rPr>
              <w:t xml:space="preserve">  </w:t>
            </w:r>
            <w:r w:rsidR="00D92020" w:rsidRPr="006A23E3">
              <w:rPr>
                <w:sz w:val="20"/>
              </w:rPr>
              <w:t>0.0245***</w:t>
            </w:r>
          </w:p>
        </w:tc>
        <w:tc>
          <w:tcPr>
            <w:tcW w:w="650" w:type="pct"/>
            <w:tcBorders>
              <w:top w:val="nil"/>
              <w:left w:val="nil"/>
              <w:right w:val="nil"/>
            </w:tcBorders>
            <w:shd w:val="clear" w:color="auto" w:fill="auto"/>
            <w:noWrap/>
            <w:vAlign w:val="bottom"/>
            <w:hideMark/>
          </w:tcPr>
          <w:p w:rsidR="00D92020" w:rsidRPr="006A23E3" w:rsidRDefault="00FA5FF3" w:rsidP="00B15DD8">
            <w:pPr>
              <w:jc w:val="center"/>
              <w:rPr>
                <w:sz w:val="20"/>
              </w:rPr>
            </w:pPr>
            <w:r>
              <w:rPr>
                <w:sz w:val="20"/>
              </w:rPr>
              <w:t xml:space="preserve">   </w:t>
            </w:r>
            <w:r w:rsidR="00D92020" w:rsidRPr="006A23E3">
              <w:rPr>
                <w:sz w:val="20"/>
              </w:rPr>
              <w:t>0.0210***</w:t>
            </w:r>
          </w:p>
        </w:tc>
        <w:tc>
          <w:tcPr>
            <w:tcW w:w="350" w:type="pct"/>
            <w:tcBorders>
              <w:top w:val="nil"/>
              <w:left w:val="nil"/>
              <w:right w:val="nil"/>
            </w:tcBorders>
            <w:shd w:val="clear" w:color="auto" w:fill="auto"/>
            <w:noWrap/>
            <w:vAlign w:val="bottom"/>
            <w:hideMark/>
          </w:tcPr>
          <w:p w:rsidR="00D92020" w:rsidRPr="006A23E3" w:rsidRDefault="00D92020" w:rsidP="00714358">
            <w:pPr>
              <w:jc w:val="right"/>
              <w:rPr>
                <w:sz w:val="20"/>
              </w:rPr>
            </w:pPr>
            <w:r w:rsidRPr="006A23E3">
              <w:rPr>
                <w:sz w:val="20"/>
              </w:rPr>
              <w:t>0.0135</w:t>
            </w:r>
          </w:p>
        </w:tc>
      </w:tr>
      <w:tr w:rsidR="00D92020" w:rsidRPr="00A40E27" w:rsidTr="00467D6A">
        <w:trPr>
          <w:trHeight w:val="137"/>
          <w:jc w:val="center"/>
        </w:trPr>
        <w:tc>
          <w:tcPr>
            <w:tcW w:w="650" w:type="pct"/>
            <w:gridSpan w:val="5"/>
            <w:tcBorders>
              <w:top w:val="single" w:sz="12" w:space="0" w:color="auto"/>
              <w:left w:val="nil"/>
              <w:right w:val="nil"/>
            </w:tcBorders>
            <w:shd w:val="clear" w:color="auto" w:fill="auto"/>
            <w:noWrap/>
            <w:vAlign w:val="bottom"/>
            <w:hideMark/>
          </w:tcPr>
          <w:p w:rsidR="00D92020" w:rsidRPr="00A40E27" w:rsidRDefault="00D92020" w:rsidP="00714358">
            <w:pPr>
              <w:rPr>
                <w:b/>
                <w:bCs/>
                <w:color w:val="000000"/>
                <w:sz w:val="20"/>
                <w:u w:val="single"/>
              </w:rPr>
            </w:pPr>
          </w:p>
        </w:tc>
        <w:tc>
          <w:tcPr>
            <w:tcW w:w="350" w:type="pct"/>
            <w:tcBorders>
              <w:top w:val="single" w:sz="12" w:space="0" w:color="auto"/>
              <w:left w:val="nil"/>
              <w:right w:val="nil"/>
            </w:tcBorders>
            <w:shd w:val="clear" w:color="auto" w:fill="auto"/>
            <w:noWrap/>
            <w:vAlign w:val="bottom"/>
            <w:hideMark/>
          </w:tcPr>
          <w:p w:rsidR="00D92020" w:rsidRPr="00A40E27" w:rsidRDefault="00D92020" w:rsidP="00714358">
            <w:pPr>
              <w:rPr>
                <w:color w:val="000000"/>
                <w:sz w:val="20"/>
                <w:szCs w:val="20"/>
              </w:rPr>
            </w:pPr>
          </w:p>
        </w:tc>
        <w:tc>
          <w:tcPr>
            <w:tcW w:w="650" w:type="pct"/>
            <w:tcBorders>
              <w:top w:val="single" w:sz="12" w:space="0" w:color="auto"/>
              <w:left w:val="nil"/>
              <w:right w:val="nil"/>
            </w:tcBorders>
            <w:shd w:val="clear" w:color="auto" w:fill="auto"/>
            <w:noWrap/>
            <w:vAlign w:val="bottom"/>
            <w:hideMark/>
          </w:tcPr>
          <w:p w:rsidR="00D92020" w:rsidRPr="00A40E27" w:rsidRDefault="00D92020" w:rsidP="00714358">
            <w:pPr>
              <w:rPr>
                <w:color w:val="000000"/>
                <w:sz w:val="20"/>
                <w:szCs w:val="20"/>
              </w:rPr>
            </w:pPr>
          </w:p>
        </w:tc>
        <w:tc>
          <w:tcPr>
            <w:tcW w:w="650" w:type="pct"/>
            <w:tcBorders>
              <w:top w:val="single" w:sz="12" w:space="0" w:color="auto"/>
              <w:left w:val="nil"/>
              <w:right w:val="nil"/>
            </w:tcBorders>
            <w:shd w:val="clear" w:color="auto" w:fill="auto"/>
            <w:noWrap/>
            <w:vAlign w:val="bottom"/>
            <w:hideMark/>
          </w:tcPr>
          <w:p w:rsidR="00D92020" w:rsidRPr="00A40E27" w:rsidRDefault="00D92020" w:rsidP="00714358">
            <w:pPr>
              <w:rPr>
                <w:color w:val="000000"/>
                <w:sz w:val="20"/>
                <w:szCs w:val="20"/>
              </w:rPr>
            </w:pPr>
          </w:p>
        </w:tc>
        <w:tc>
          <w:tcPr>
            <w:tcW w:w="350" w:type="pct"/>
            <w:tcBorders>
              <w:top w:val="single" w:sz="12" w:space="0" w:color="auto"/>
              <w:left w:val="nil"/>
              <w:right w:val="nil"/>
            </w:tcBorders>
            <w:shd w:val="clear" w:color="auto" w:fill="auto"/>
            <w:noWrap/>
            <w:vAlign w:val="bottom"/>
            <w:hideMark/>
          </w:tcPr>
          <w:p w:rsidR="00D92020" w:rsidRPr="00A40E27" w:rsidRDefault="00D92020" w:rsidP="00714358">
            <w:pPr>
              <w:rPr>
                <w:color w:val="000000"/>
                <w:sz w:val="20"/>
                <w:szCs w:val="20"/>
              </w:rPr>
            </w:pPr>
          </w:p>
        </w:tc>
      </w:tr>
    </w:tbl>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Pr="00641A1A" w:rsidRDefault="00A44F5C" w:rsidP="00A44F5C">
      <w:pPr>
        <w:tabs>
          <w:tab w:val="left" w:pos="108"/>
        </w:tabs>
        <w:ind w:right="-270"/>
        <w:outlineLvl w:val="0"/>
      </w:pPr>
      <w:r w:rsidRPr="00641A1A">
        <w:t>(</w:t>
      </w:r>
      <w:proofErr w:type="gramStart"/>
      <w:r w:rsidRPr="00641A1A">
        <w:t>continues</w:t>
      </w:r>
      <w:proofErr w:type="gramEnd"/>
      <w:r w:rsidRPr="00641A1A">
        <w:t xml:space="preserve"> on next page)</w:t>
      </w: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A44F5C" w:rsidRDefault="00A44F5C" w:rsidP="00A44F5C">
      <w:pPr>
        <w:tabs>
          <w:tab w:val="left" w:pos="108"/>
        </w:tabs>
        <w:ind w:right="-270"/>
        <w:outlineLvl w:val="0"/>
        <w:rPr>
          <w:b/>
        </w:rPr>
      </w:pPr>
    </w:p>
    <w:p w:rsidR="00C9694E" w:rsidRDefault="00C9694E" w:rsidP="00A44F5C">
      <w:pPr>
        <w:autoSpaceDE w:val="0"/>
        <w:autoSpaceDN w:val="0"/>
        <w:adjustRightInd w:val="0"/>
        <w:rPr>
          <w:b/>
          <w:color w:val="000000"/>
        </w:rPr>
        <w:sectPr w:rsidR="00C9694E" w:rsidSect="00467D6A">
          <w:pgSz w:w="12240" w:h="15840"/>
          <w:pgMar w:top="1440" w:right="1440" w:bottom="1440" w:left="1440" w:header="720" w:footer="720" w:gutter="0"/>
          <w:cols w:space="720"/>
          <w:docGrid w:linePitch="360"/>
        </w:sectPr>
      </w:pPr>
    </w:p>
    <w:p w:rsidR="00A44F5C" w:rsidRDefault="00A44F5C" w:rsidP="00A44F5C">
      <w:pPr>
        <w:autoSpaceDE w:val="0"/>
        <w:autoSpaceDN w:val="0"/>
        <w:adjustRightInd w:val="0"/>
        <w:rPr>
          <w:b/>
          <w:color w:val="000000"/>
        </w:rPr>
      </w:pPr>
      <w:r>
        <w:rPr>
          <w:b/>
          <w:color w:val="000000"/>
        </w:rPr>
        <w:lastRenderedPageBreak/>
        <w:t>Table 3 (continued)</w:t>
      </w:r>
    </w:p>
    <w:p w:rsidR="00A44F5C" w:rsidRPr="00B26406" w:rsidRDefault="00A44F5C" w:rsidP="00A44F5C">
      <w:pPr>
        <w:tabs>
          <w:tab w:val="left" w:pos="108"/>
        </w:tabs>
        <w:ind w:right="-270"/>
        <w:outlineLvl w:val="0"/>
        <w:rPr>
          <w:b/>
        </w:rPr>
      </w:pPr>
      <w:r w:rsidRPr="00B26406">
        <w:rPr>
          <w:b/>
        </w:rPr>
        <w:t xml:space="preserve">Panel C:  Descriptive </w:t>
      </w:r>
      <w:r w:rsidR="00C81DDE">
        <w:rPr>
          <w:b/>
        </w:rPr>
        <w:t>s</w:t>
      </w:r>
      <w:r w:rsidRPr="00B26406">
        <w:rPr>
          <w:b/>
        </w:rPr>
        <w:t xml:space="preserve">tatistics by </w:t>
      </w:r>
      <w:r w:rsidR="00C81DDE">
        <w:rPr>
          <w:b/>
        </w:rPr>
        <w:t>p</w:t>
      </w:r>
      <w:r w:rsidRPr="00B26406">
        <w:rPr>
          <w:b/>
        </w:rPr>
        <w:t>re-/</w:t>
      </w:r>
      <w:r w:rsidR="00C81DDE">
        <w:rPr>
          <w:b/>
        </w:rPr>
        <w:t>p</w:t>
      </w:r>
      <w:r w:rsidRPr="00B26406">
        <w:rPr>
          <w:b/>
        </w:rPr>
        <w:t>ost-</w:t>
      </w:r>
      <w:r w:rsidR="00C81DDE">
        <w:rPr>
          <w:b/>
        </w:rPr>
        <w:t>m</w:t>
      </w:r>
      <w:r w:rsidRPr="00B26406">
        <w:rPr>
          <w:b/>
        </w:rPr>
        <w:t xml:space="preserve">erger and </w:t>
      </w:r>
      <w:r w:rsidR="00C81DDE">
        <w:rPr>
          <w:b/>
        </w:rPr>
        <w:t>s</w:t>
      </w:r>
      <w:r w:rsidRPr="00B26406">
        <w:rPr>
          <w:b/>
        </w:rPr>
        <w:t>egment/</w:t>
      </w:r>
      <w:r w:rsidR="00C81DDE">
        <w:rPr>
          <w:b/>
        </w:rPr>
        <w:t>n</w:t>
      </w:r>
      <w:r w:rsidRPr="00B26406">
        <w:rPr>
          <w:b/>
        </w:rPr>
        <w:t>on-</w:t>
      </w:r>
      <w:r w:rsidR="00C81DDE">
        <w:rPr>
          <w:b/>
        </w:rPr>
        <w:t>s</w:t>
      </w:r>
      <w:r w:rsidRPr="00B26406">
        <w:rPr>
          <w:b/>
        </w:rPr>
        <w:t xml:space="preserve">egment </w:t>
      </w:r>
      <w:r w:rsidR="00C81DDE">
        <w:rPr>
          <w:b/>
        </w:rPr>
        <w:t>p</w:t>
      </w:r>
      <w:r w:rsidRPr="00B26406">
        <w:rPr>
          <w:b/>
        </w:rPr>
        <w:t>artitions (Continued)</w:t>
      </w:r>
    </w:p>
    <w:tbl>
      <w:tblPr>
        <w:tblW w:w="5000" w:type="pct"/>
        <w:jc w:val="center"/>
        <w:tblLook w:val="04A0" w:firstRow="1" w:lastRow="0" w:firstColumn="1" w:lastColumn="0" w:noHBand="0" w:noVBand="1"/>
      </w:tblPr>
      <w:tblGrid>
        <w:gridCol w:w="1833"/>
        <w:gridCol w:w="666"/>
        <w:gridCol w:w="1216"/>
        <w:gridCol w:w="1216"/>
        <w:gridCol w:w="839"/>
        <w:gridCol w:w="534"/>
        <w:gridCol w:w="1216"/>
        <w:gridCol w:w="1217"/>
        <w:gridCol w:w="839"/>
      </w:tblGrid>
      <w:tr w:rsidR="001C5877" w:rsidRPr="00A40E27" w:rsidTr="00FD5BBA">
        <w:trPr>
          <w:trHeight w:hRule="exact" w:val="389"/>
          <w:jc w:val="center"/>
        </w:trPr>
        <w:tc>
          <w:tcPr>
            <w:tcW w:w="350" w:type="pct"/>
            <w:gridSpan w:val="5"/>
            <w:tcBorders>
              <w:top w:val="single" w:sz="12" w:space="0" w:color="auto"/>
            </w:tcBorders>
            <w:shd w:val="clear" w:color="auto" w:fill="auto"/>
            <w:noWrap/>
            <w:vAlign w:val="bottom"/>
            <w:hideMark/>
          </w:tcPr>
          <w:p w:rsidR="001C5877" w:rsidRPr="00A40E27" w:rsidRDefault="001C5877" w:rsidP="00714358">
            <w:pPr>
              <w:rPr>
                <w:b/>
                <w:bCs/>
                <w:color w:val="000000"/>
                <w:sz w:val="20"/>
                <w:u w:val="single"/>
              </w:rPr>
            </w:pPr>
            <w:r w:rsidRPr="00180E44">
              <w:rPr>
                <w:b/>
                <w:bCs/>
                <w:color w:val="000000"/>
                <w:u w:val="single"/>
              </w:rPr>
              <w:t>Post-merger</w:t>
            </w:r>
          </w:p>
        </w:tc>
        <w:tc>
          <w:tcPr>
            <w:tcW w:w="300" w:type="pct"/>
            <w:tcBorders>
              <w:top w:val="single" w:sz="12" w:space="0" w:color="auto"/>
            </w:tcBorders>
            <w:shd w:val="clear" w:color="auto" w:fill="auto"/>
            <w:noWrap/>
            <w:vAlign w:val="bottom"/>
            <w:hideMark/>
          </w:tcPr>
          <w:p w:rsidR="001C5877" w:rsidRPr="00A40E27" w:rsidRDefault="001C5877" w:rsidP="00714358">
            <w:pPr>
              <w:rPr>
                <w:color w:val="000000"/>
                <w:sz w:val="20"/>
              </w:rPr>
            </w:pPr>
          </w:p>
        </w:tc>
        <w:tc>
          <w:tcPr>
            <w:tcW w:w="650" w:type="pct"/>
            <w:tcBorders>
              <w:top w:val="single" w:sz="12" w:space="0" w:color="auto"/>
            </w:tcBorders>
            <w:shd w:val="clear" w:color="auto" w:fill="auto"/>
            <w:noWrap/>
            <w:vAlign w:val="bottom"/>
            <w:hideMark/>
          </w:tcPr>
          <w:p w:rsidR="001C5877" w:rsidRPr="00A40E27" w:rsidRDefault="001C5877" w:rsidP="00714358">
            <w:pPr>
              <w:rPr>
                <w:color w:val="000000"/>
                <w:sz w:val="20"/>
              </w:rPr>
            </w:pPr>
          </w:p>
        </w:tc>
        <w:tc>
          <w:tcPr>
            <w:tcW w:w="650" w:type="pct"/>
            <w:tcBorders>
              <w:top w:val="single" w:sz="12" w:space="0" w:color="auto"/>
            </w:tcBorders>
            <w:shd w:val="clear" w:color="auto" w:fill="auto"/>
            <w:noWrap/>
            <w:vAlign w:val="bottom"/>
            <w:hideMark/>
          </w:tcPr>
          <w:p w:rsidR="001C5877" w:rsidRPr="00A40E27" w:rsidRDefault="001C5877" w:rsidP="00714358">
            <w:pPr>
              <w:rPr>
                <w:color w:val="000000"/>
                <w:sz w:val="20"/>
              </w:rPr>
            </w:pPr>
          </w:p>
        </w:tc>
        <w:tc>
          <w:tcPr>
            <w:tcW w:w="400" w:type="pct"/>
            <w:tcBorders>
              <w:top w:val="single" w:sz="12" w:space="0" w:color="auto"/>
            </w:tcBorders>
            <w:shd w:val="clear" w:color="auto" w:fill="auto"/>
            <w:noWrap/>
            <w:vAlign w:val="bottom"/>
            <w:hideMark/>
          </w:tcPr>
          <w:p w:rsidR="001C5877" w:rsidRPr="00A40E27" w:rsidRDefault="001C5877" w:rsidP="00714358">
            <w:pPr>
              <w:rPr>
                <w:color w:val="000000"/>
                <w:sz w:val="20"/>
              </w:rPr>
            </w:pPr>
          </w:p>
        </w:tc>
      </w:tr>
      <w:tr w:rsidR="001C5877" w:rsidRPr="00180E44" w:rsidTr="00FD5BBA">
        <w:trPr>
          <w:trHeight w:hRule="exact" w:val="389"/>
          <w:jc w:val="center"/>
        </w:trPr>
        <w:tc>
          <w:tcPr>
            <w:tcW w:w="967" w:type="pct"/>
            <w:shd w:val="clear" w:color="auto" w:fill="auto"/>
            <w:noWrap/>
            <w:vAlign w:val="bottom"/>
            <w:hideMark/>
          </w:tcPr>
          <w:p w:rsidR="001C5877" w:rsidRPr="00180E44" w:rsidRDefault="001C5877" w:rsidP="00714358">
            <w:pPr>
              <w:rPr>
                <w:color w:val="000000"/>
              </w:rPr>
            </w:pPr>
          </w:p>
        </w:tc>
        <w:tc>
          <w:tcPr>
            <w:tcW w:w="350" w:type="pct"/>
            <w:gridSpan w:val="4"/>
            <w:tcBorders>
              <w:bottom w:val="single" w:sz="2" w:space="0" w:color="auto"/>
            </w:tcBorders>
            <w:shd w:val="clear" w:color="auto" w:fill="auto"/>
            <w:noWrap/>
            <w:vAlign w:val="bottom"/>
            <w:hideMark/>
          </w:tcPr>
          <w:p w:rsidR="001C5877" w:rsidRPr="00180E44" w:rsidRDefault="001C5877" w:rsidP="00714358">
            <w:pPr>
              <w:jc w:val="center"/>
              <w:rPr>
                <w:b/>
                <w:color w:val="000000"/>
              </w:rPr>
            </w:pPr>
            <w:r w:rsidRPr="00180E44">
              <w:rPr>
                <w:b/>
                <w:color w:val="000000"/>
              </w:rPr>
              <w:t>Non-segment</w:t>
            </w:r>
          </w:p>
        </w:tc>
        <w:tc>
          <w:tcPr>
            <w:tcW w:w="400" w:type="pct"/>
            <w:gridSpan w:val="4"/>
            <w:tcBorders>
              <w:bottom w:val="single" w:sz="2" w:space="0" w:color="auto"/>
            </w:tcBorders>
            <w:shd w:val="clear" w:color="auto" w:fill="auto"/>
            <w:noWrap/>
            <w:vAlign w:val="bottom"/>
            <w:hideMark/>
          </w:tcPr>
          <w:p w:rsidR="001C5877" w:rsidRPr="00180E44" w:rsidRDefault="001C5877" w:rsidP="00714358">
            <w:pPr>
              <w:jc w:val="center"/>
              <w:rPr>
                <w:b/>
                <w:color w:val="000000"/>
              </w:rPr>
            </w:pPr>
            <w:r w:rsidRPr="00180E44">
              <w:rPr>
                <w:b/>
                <w:color w:val="000000"/>
              </w:rPr>
              <w:t>Segment</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p>
        </w:tc>
        <w:tc>
          <w:tcPr>
            <w:tcW w:w="30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N</w:t>
            </w:r>
          </w:p>
        </w:tc>
        <w:tc>
          <w:tcPr>
            <w:tcW w:w="65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Mean</w:t>
            </w:r>
          </w:p>
        </w:tc>
        <w:tc>
          <w:tcPr>
            <w:tcW w:w="65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Median</w:t>
            </w:r>
          </w:p>
        </w:tc>
        <w:tc>
          <w:tcPr>
            <w:tcW w:w="350" w:type="pct"/>
            <w:tcBorders>
              <w:top w:val="single" w:sz="2" w:space="0" w:color="auto"/>
              <w:bottom w:val="single" w:sz="2" w:space="0" w:color="auto"/>
              <w:right w:val="single" w:sz="4" w:space="0" w:color="auto"/>
            </w:tcBorders>
            <w:shd w:val="clear" w:color="auto" w:fill="auto"/>
            <w:noWrap/>
            <w:vAlign w:val="bottom"/>
            <w:hideMark/>
          </w:tcPr>
          <w:p w:rsidR="001C5877" w:rsidRPr="00A40E27" w:rsidRDefault="001C5877" w:rsidP="00714358">
            <w:pPr>
              <w:jc w:val="center"/>
              <w:rPr>
                <w:b/>
                <w:color w:val="000000"/>
                <w:sz w:val="20"/>
              </w:rPr>
            </w:pPr>
            <w:proofErr w:type="spellStart"/>
            <w:r>
              <w:rPr>
                <w:b/>
                <w:color w:val="000000"/>
                <w:sz w:val="20"/>
              </w:rPr>
              <w:t>Std</w:t>
            </w:r>
            <w:r w:rsidRPr="00A40E27">
              <w:rPr>
                <w:b/>
                <w:color w:val="000000"/>
                <w:sz w:val="20"/>
              </w:rPr>
              <w:t>Dev</w:t>
            </w:r>
            <w:proofErr w:type="spellEnd"/>
          </w:p>
        </w:tc>
        <w:tc>
          <w:tcPr>
            <w:tcW w:w="30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N</w:t>
            </w:r>
          </w:p>
        </w:tc>
        <w:tc>
          <w:tcPr>
            <w:tcW w:w="65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Mean</w:t>
            </w:r>
          </w:p>
        </w:tc>
        <w:tc>
          <w:tcPr>
            <w:tcW w:w="65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r w:rsidRPr="00A40E27">
              <w:rPr>
                <w:b/>
                <w:color w:val="000000"/>
                <w:sz w:val="20"/>
              </w:rPr>
              <w:t>Median</w:t>
            </w:r>
          </w:p>
        </w:tc>
        <w:tc>
          <w:tcPr>
            <w:tcW w:w="400" w:type="pct"/>
            <w:tcBorders>
              <w:top w:val="single" w:sz="2" w:space="0" w:color="auto"/>
              <w:bottom w:val="single" w:sz="2" w:space="0" w:color="auto"/>
            </w:tcBorders>
            <w:shd w:val="clear" w:color="auto" w:fill="auto"/>
            <w:noWrap/>
            <w:vAlign w:val="bottom"/>
            <w:hideMark/>
          </w:tcPr>
          <w:p w:rsidR="001C5877" w:rsidRPr="00A40E27" w:rsidRDefault="001C5877" w:rsidP="00714358">
            <w:pPr>
              <w:jc w:val="center"/>
              <w:rPr>
                <w:b/>
                <w:color w:val="000000"/>
                <w:sz w:val="20"/>
              </w:rPr>
            </w:pPr>
            <w:proofErr w:type="spellStart"/>
            <w:r>
              <w:rPr>
                <w:b/>
                <w:color w:val="000000"/>
                <w:sz w:val="20"/>
              </w:rPr>
              <w:t>Std</w:t>
            </w:r>
            <w:r w:rsidRPr="00A40E27">
              <w:rPr>
                <w:b/>
                <w:color w:val="000000"/>
                <w:sz w:val="20"/>
              </w:rPr>
              <w:t>Dev</w:t>
            </w:r>
            <w:proofErr w:type="spellEnd"/>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Return</w:t>
            </w:r>
          </w:p>
        </w:tc>
        <w:tc>
          <w:tcPr>
            <w:tcW w:w="300" w:type="pct"/>
            <w:tcBorders>
              <w:top w:val="single" w:sz="2"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tcBorders>
              <w:top w:val="single" w:sz="2" w:space="0" w:color="auto"/>
            </w:tcBorders>
            <w:shd w:val="clear" w:color="auto" w:fill="auto"/>
            <w:noWrap/>
            <w:vAlign w:val="bottom"/>
            <w:hideMark/>
          </w:tcPr>
          <w:p w:rsidR="001C5877" w:rsidRPr="00A40E27" w:rsidRDefault="001C5877" w:rsidP="001C5877">
            <w:pPr>
              <w:jc w:val="center"/>
              <w:rPr>
                <w:color w:val="000000"/>
                <w:sz w:val="20"/>
              </w:rPr>
            </w:pPr>
            <w:r w:rsidRPr="00A40E27">
              <w:rPr>
                <w:sz w:val="20"/>
              </w:rPr>
              <w:t>0.3848</w:t>
            </w:r>
          </w:p>
        </w:tc>
        <w:tc>
          <w:tcPr>
            <w:tcW w:w="650" w:type="pct"/>
            <w:tcBorders>
              <w:top w:val="single" w:sz="2" w:space="0" w:color="auto"/>
            </w:tcBorders>
            <w:shd w:val="clear" w:color="auto" w:fill="auto"/>
            <w:noWrap/>
            <w:vAlign w:val="bottom"/>
            <w:hideMark/>
          </w:tcPr>
          <w:p w:rsidR="001C5877" w:rsidRPr="00A40E27" w:rsidRDefault="001C5877" w:rsidP="001C5877">
            <w:pPr>
              <w:jc w:val="center"/>
              <w:rPr>
                <w:color w:val="000000"/>
                <w:sz w:val="20"/>
              </w:rPr>
            </w:pPr>
            <w:r w:rsidRPr="00A40E27">
              <w:rPr>
                <w:sz w:val="20"/>
              </w:rPr>
              <w:t>0.2186</w:t>
            </w:r>
          </w:p>
        </w:tc>
        <w:tc>
          <w:tcPr>
            <w:tcW w:w="350" w:type="pct"/>
            <w:tcBorders>
              <w:top w:val="single" w:sz="2" w:space="0" w:color="auto"/>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0.9841</w:t>
            </w:r>
          </w:p>
        </w:tc>
        <w:tc>
          <w:tcPr>
            <w:tcW w:w="300" w:type="pct"/>
            <w:tcBorders>
              <w:top w:val="single" w:sz="2"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tcBorders>
              <w:top w:val="single" w:sz="2" w:space="0" w:color="auto"/>
            </w:tcBorders>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0.4380</w:t>
            </w:r>
          </w:p>
        </w:tc>
        <w:tc>
          <w:tcPr>
            <w:tcW w:w="650" w:type="pct"/>
            <w:tcBorders>
              <w:top w:val="single" w:sz="2" w:space="0" w:color="auto"/>
            </w:tcBorders>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0.2298</w:t>
            </w:r>
          </w:p>
        </w:tc>
        <w:tc>
          <w:tcPr>
            <w:tcW w:w="400" w:type="pct"/>
            <w:tcBorders>
              <w:top w:val="single" w:sz="2"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1.0885</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proofErr w:type="spellStart"/>
            <w:r>
              <w:rPr>
                <w:color w:val="000000"/>
                <w:sz w:val="20"/>
              </w:rPr>
              <w:t>NI</w:t>
            </w:r>
            <w:r w:rsidRPr="00A40E27">
              <w:rPr>
                <w:color w:val="000000"/>
                <w:sz w:val="20"/>
              </w:rPr>
              <w:t>_</w:t>
            </w:r>
            <w:r>
              <w:rPr>
                <w:color w:val="000000"/>
                <w:sz w:val="20"/>
              </w:rPr>
              <w:t>A</w:t>
            </w:r>
            <w:r w:rsidRPr="00A40E27">
              <w:rPr>
                <w:color w:val="000000"/>
                <w:sz w:val="20"/>
              </w:rPr>
              <w:t>ssets</w:t>
            </w:r>
            <w:proofErr w:type="spellEnd"/>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0.0253</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0.0343</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0.0861</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0.0263</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0.0396**</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0.1012</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proofErr w:type="spellStart"/>
            <w:r>
              <w:rPr>
                <w:color w:val="000000"/>
                <w:sz w:val="20"/>
              </w:rPr>
              <w:t>OCF</w:t>
            </w:r>
            <w:r w:rsidRPr="00A40E27">
              <w:rPr>
                <w:color w:val="000000"/>
                <w:sz w:val="20"/>
              </w:rPr>
              <w:t>_</w:t>
            </w:r>
            <w:r>
              <w:rPr>
                <w:color w:val="000000"/>
                <w:sz w:val="20"/>
              </w:rPr>
              <w:t>A</w:t>
            </w:r>
            <w:r w:rsidRPr="00A40E27">
              <w:rPr>
                <w:color w:val="000000"/>
                <w:sz w:val="20"/>
              </w:rPr>
              <w:t>ssets</w:t>
            </w:r>
            <w:proofErr w:type="spellEnd"/>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0.0702</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0.0709</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0.0977</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0.0658</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0.0694</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0.1050</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proofErr w:type="spellStart"/>
            <w:r>
              <w:rPr>
                <w:color w:val="000000"/>
                <w:sz w:val="20"/>
              </w:rPr>
              <w:t>A</w:t>
            </w:r>
            <w:r w:rsidRPr="00A40E27">
              <w:rPr>
                <w:color w:val="000000"/>
                <w:sz w:val="20"/>
              </w:rPr>
              <w:t>ccruals_</w:t>
            </w:r>
            <w:r>
              <w:rPr>
                <w:color w:val="000000"/>
                <w:sz w:val="20"/>
              </w:rPr>
              <w:t>A</w:t>
            </w:r>
            <w:r w:rsidRPr="00A40E27">
              <w:rPr>
                <w:color w:val="000000"/>
                <w:sz w:val="20"/>
              </w:rPr>
              <w:t>ssets</w:t>
            </w:r>
            <w:proofErr w:type="spellEnd"/>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-0.0449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-0.0408</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0.0911</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-0.0395</w:t>
            </w:r>
          </w:p>
        </w:tc>
        <w:tc>
          <w:tcPr>
            <w:tcW w:w="650" w:type="pct"/>
            <w:shd w:val="clear" w:color="auto" w:fill="auto"/>
            <w:noWrap/>
            <w:vAlign w:val="bottom"/>
            <w:hideMark/>
          </w:tcPr>
          <w:p w:rsidR="001C5877" w:rsidRPr="00A40E27" w:rsidRDefault="001C5877" w:rsidP="001C5877">
            <w:pPr>
              <w:rPr>
                <w:color w:val="000000"/>
                <w:sz w:val="20"/>
              </w:rPr>
            </w:pPr>
            <w:r w:rsidRPr="00A40E27">
              <w:rPr>
                <w:sz w:val="20"/>
              </w:rPr>
              <w:t>-0.0333**</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0.0969</w:t>
            </w:r>
          </w:p>
        </w:tc>
      </w:tr>
      <w:tr w:rsidR="001C5877" w:rsidRPr="00A40E27" w:rsidTr="00FD5BBA">
        <w:trPr>
          <w:trHeight w:hRule="exact" w:val="389"/>
          <w:jc w:val="center"/>
        </w:trPr>
        <w:tc>
          <w:tcPr>
            <w:tcW w:w="967" w:type="pct"/>
            <w:shd w:val="clear" w:color="auto" w:fill="auto"/>
            <w:noWrap/>
            <w:vAlign w:val="bottom"/>
          </w:tcPr>
          <w:p w:rsidR="001C5877" w:rsidRPr="00A40E27" w:rsidRDefault="001C5877" w:rsidP="00714358">
            <w:pPr>
              <w:rPr>
                <w:color w:val="000000"/>
                <w:sz w:val="20"/>
              </w:rPr>
            </w:pPr>
            <w:proofErr w:type="spellStart"/>
            <w:r>
              <w:rPr>
                <w:color w:val="000000"/>
                <w:sz w:val="20"/>
              </w:rPr>
              <w:t>mn_bidask</w:t>
            </w:r>
            <w:proofErr w:type="spellEnd"/>
          </w:p>
        </w:tc>
        <w:tc>
          <w:tcPr>
            <w:tcW w:w="300" w:type="pct"/>
            <w:shd w:val="clear" w:color="auto" w:fill="auto"/>
            <w:noWrap/>
            <w:vAlign w:val="bottom"/>
          </w:tcPr>
          <w:p w:rsidR="001C5877" w:rsidRPr="00A40E27" w:rsidRDefault="001C5877" w:rsidP="00714358">
            <w:pPr>
              <w:jc w:val="right"/>
              <w:rPr>
                <w:sz w:val="20"/>
              </w:rPr>
            </w:pPr>
            <w:r>
              <w:rPr>
                <w:sz w:val="20"/>
              </w:rPr>
              <w:t>1,969</w:t>
            </w:r>
          </w:p>
        </w:tc>
        <w:tc>
          <w:tcPr>
            <w:tcW w:w="650" w:type="pct"/>
            <w:shd w:val="clear" w:color="auto" w:fill="auto"/>
            <w:noWrap/>
            <w:vAlign w:val="bottom"/>
          </w:tcPr>
          <w:p w:rsidR="001C5877" w:rsidRPr="00A40E27" w:rsidRDefault="001C5877" w:rsidP="001C5877">
            <w:pPr>
              <w:jc w:val="center"/>
              <w:rPr>
                <w:sz w:val="20"/>
              </w:rPr>
            </w:pPr>
            <w:r>
              <w:rPr>
                <w:sz w:val="20"/>
              </w:rPr>
              <w:t>0.0387</w:t>
            </w:r>
          </w:p>
        </w:tc>
        <w:tc>
          <w:tcPr>
            <w:tcW w:w="650" w:type="pct"/>
            <w:shd w:val="clear" w:color="auto" w:fill="auto"/>
            <w:noWrap/>
            <w:vAlign w:val="bottom"/>
          </w:tcPr>
          <w:p w:rsidR="001C5877" w:rsidRPr="00A40E27" w:rsidRDefault="001C5877" w:rsidP="001C5877">
            <w:pPr>
              <w:jc w:val="center"/>
              <w:rPr>
                <w:sz w:val="20"/>
              </w:rPr>
            </w:pPr>
            <w:r>
              <w:rPr>
                <w:sz w:val="20"/>
              </w:rPr>
              <w:t>0.0172</w:t>
            </w:r>
          </w:p>
        </w:tc>
        <w:tc>
          <w:tcPr>
            <w:tcW w:w="350" w:type="pct"/>
            <w:tcBorders>
              <w:right w:val="single" w:sz="4" w:space="0" w:color="auto"/>
            </w:tcBorders>
            <w:shd w:val="clear" w:color="auto" w:fill="auto"/>
            <w:noWrap/>
            <w:vAlign w:val="bottom"/>
          </w:tcPr>
          <w:p w:rsidR="001C5877" w:rsidRPr="00A40E27" w:rsidRDefault="001C5877" w:rsidP="00714358">
            <w:pPr>
              <w:jc w:val="right"/>
              <w:rPr>
                <w:sz w:val="20"/>
              </w:rPr>
            </w:pPr>
            <w:r>
              <w:rPr>
                <w:sz w:val="20"/>
              </w:rPr>
              <w:t>0.0601</w:t>
            </w:r>
          </w:p>
        </w:tc>
        <w:tc>
          <w:tcPr>
            <w:tcW w:w="300" w:type="pct"/>
            <w:shd w:val="clear" w:color="auto" w:fill="auto"/>
            <w:noWrap/>
            <w:vAlign w:val="bottom"/>
          </w:tcPr>
          <w:p w:rsidR="001C5877" w:rsidRPr="00A40E27" w:rsidRDefault="001C5877" w:rsidP="00714358">
            <w:pPr>
              <w:jc w:val="right"/>
              <w:rPr>
                <w:sz w:val="20"/>
              </w:rPr>
            </w:pPr>
            <w:r>
              <w:rPr>
                <w:sz w:val="20"/>
              </w:rPr>
              <w:t>832</w:t>
            </w:r>
          </w:p>
        </w:tc>
        <w:tc>
          <w:tcPr>
            <w:tcW w:w="650" w:type="pct"/>
            <w:shd w:val="clear" w:color="auto" w:fill="auto"/>
            <w:noWrap/>
            <w:vAlign w:val="bottom"/>
          </w:tcPr>
          <w:p w:rsidR="001C5877" w:rsidRPr="00A40E27" w:rsidRDefault="001C5877" w:rsidP="001C5877">
            <w:pPr>
              <w:jc w:val="center"/>
              <w:rPr>
                <w:sz w:val="20"/>
              </w:rPr>
            </w:pPr>
            <w:r>
              <w:rPr>
                <w:sz w:val="20"/>
              </w:rPr>
              <w:t xml:space="preserve">  0.0157***</w:t>
            </w:r>
          </w:p>
        </w:tc>
        <w:tc>
          <w:tcPr>
            <w:tcW w:w="650" w:type="pct"/>
            <w:shd w:val="clear" w:color="auto" w:fill="auto"/>
            <w:noWrap/>
            <w:vAlign w:val="bottom"/>
          </w:tcPr>
          <w:p w:rsidR="001C5877" w:rsidRPr="00A40E27" w:rsidRDefault="001C5877" w:rsidP="001C5877">
            <w:pPr>
              <w:jc w:val="center"/>
              <w:rPr>
                <w:sz w:val="20"/>
              </w:rPr>
            </w:pPr>
            <w:r>
              <w:rPr>
                <w:sz w:val="20"/>
              </w:rPr>
              <w:t>0.0117***</w:t>
            </w:r>
          </w:p>
        </w:tc>
        <w:tc>
          <w:tcPr>
            <w:tcW w:w="400" w:type="pct"/>
            <w:shd w:val="clear" w:color="auto" w:fill="auto"/>
            <w:noWrap/>
            <w:vAlign w:val="bottom"/>
          </w:tcPr>
          <w:p w:rsidR="001C5877" w:rsidRPr="00A40E27" w:rsidRDefault="001C5877" w:rsidP="00714358">
            <w:pPr>
              <w:jc w:val="right"/>
              <w:rPr>
                <w:sz w:val="20"/>
              </w:rPr>
            </w:pPr>
            <w:r>
              <w:rPr>
                <w:sz w:val="20"/>
              </w:rPr>
              <w:t>0.0145</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proofErr w:type="spellStart"/>
            <w:r w:rsidRPr="00A40E27">
              <w:rPr>
                <w:color w:val="000000"/>
                <w:sz w:val="20"/>
              </w:rPr>
              <w:t>perc_zeroret</w:t>
            </w:r>
            <w:proofErr w:type="spellEnd"/>
          </w:p>
        </w:tc>
        <w:tc>
          <w:tcPr>
            <w:tcW w:w="300" w:type="pct"/>
            <w:shd w:val="clear" w:color="auto" w:fill="auto"/>
            <w:noWrap/>
            <w:vAlign w:val="bottom"/>
            <w:hideMark/>
          </w:tcPr>
          <w:p w:rsidR="001C5877" w:rsidRPr="00A40E27" w:rsidRDefault="001C5877" w:rsidP="00714358">
            <w:pPr>
              <w:jc w:val="right"/>
              <w:rPr>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0.3644</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0.2000</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0.3457</w:t>
            </w:r>
          </w:p>
        </w:tc>
        <w:tc>
          <w:tcPr>
            <w:tcW w:w="300" w:type="pct"/>
            <w:shd w:val="clear" w:color="auto" w:fill="auto"/>
            <w:noWrap/>
            <w:vAlign w:val="bottom"/>
            <w:hideMark/>
          </w:tcPr>
          <w:p w:rsidR="001C5877" w:rsidRPr="00A40E27" w:rsidRDefault="001C5877" w:rsidP="00714358">
            <w:pPr>
              <w:jc w:val="right"/>
              <w:rPr>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Pr>
                <w:sz w:val="20"/>
              </w:rPr>
              <w:t xml:space="preserve">  </w:t>
            </w:r>
            <w:r w:rsidRPr="00A40E27">
              <w:rPr>
                <w:sz w:val="20"/>
              </w:rPr>
              <w:t>0.1437***</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0.1115***</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0.1268</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Size</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5.3395</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5.0019</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2.3962</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5.3127</w:t>
            </w:r>
          </w:p>
        </w:tc>
        <w:tc>
          <w:tcPr>
            <w:tcW w:w="650" w:type="pct"/>
            <w:shd w:val="clear" w:color="auto" w:fill="auto"/>
            <w:noWrap/>
            <w:vAlign w:val="bottom"/>
            <w:hideMark/>
          </w:tcPr>
          <w:p w:rsidR="001C5877" w:rsidRPr="00A40E27" w:rsidRDefault="008416C9" w:rsidP="001C5877">
            <w:pPr>
              <w:rPr>
                <w:color w:val="000000"/>
                <w:sz w:val="20"/>
              </w:rPr>
            </w:pPr>
            <w:r>
              <w:rPr>
                <w:sz w:val="20"/>
              </w:rPr>
              <w:t xml:space="preserve"> </w:t>
            </w:r>
            <w:r w:rsidR="001C5877" w:rsidRPr="00A40E27">
              <w:rPr>
                <w:sz w:val="20"/>
              </w:rPr>
              <w:t>5.2469*</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1.5446</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Sales Growth</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0.1532</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0.1484</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0.3102</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Pr>
                <w:sz w:val="20"/>
              </w:rPr>
              <w:t xml:space="preserve">  </w:t>
            </w:r>
            <w:r w:rsidRPr="00A40E27">
              <w:rPr>
                <w:sz w:val="20"/>
              </w:rPr>
              <w:t>0.1999***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0.1715***</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0.3503</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Leverage</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0.6101</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0.6209</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0.2019</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Pr>
                <w:sz w:val="20"/>
              </w:rPr>
              <w:t xml:space="preserve">  </w:t>
            </w:r>
            <w:r w:rsidRPr="00A40E27">
              <w:rPr>
                <w:sz w:val="20"/>
              </w:rPr>
              <w:t>0.5878***</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0.6072***</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0.1841</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Turn</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1.1543</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1.0684</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0.5942</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1.2148**</w:t>
            </w:r>
          </w:p>
        </w:tc>
        <w:tc>
          <w:tcPr>
            <w:tcW w:w="650" w:type="pct"/>
            <w:shd w:val="clear" w:color="auto" w:fill="auto"/>
            <w:noWrap/>
            <w:vAlign w:val="bottom"/>
            <w:hideMark/>
          </w:tcPr>
          <w:p w:rsidR="001C5877" w:rsidRPr="00A40E27" w:rsidRDefault="008416C9" w:rsidP="008416C9">
            <w:pPr>
              <w:rPr>
                <w:color w:val="000000"/>
                <w:sz w:val="20"/>
              </w:rPr>
            </w:pPr>
            <w:r>
              <w:rPr>
                <w:sz w:val="20"/>
              </w:rPr>
              <w:t xml:space="preserve"> </w:t>
            </w:r>
            <w:r w:rsidR="001C5877" w:rsidRPr="00A40E27">
              <w:rPr>
                <w:sz w:val="20"/>
              </w:rPr>
              <w:t>1.1185**</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0.6395</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Auditor</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0.4830</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0.0000</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0.4998</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Pr>
                <w:sz w:val="20"/>
              </w:rPr>
              <w:t xml:space="preserve">  </w:t>
            </w:r>
            <w:r w:rsidRPr="00A40E27">
              <w:rPr>
                <w:sz w:val="20"/>
              </w:rPr>
              <w:t>0.5853***</w:t>
            </w:r>
          </w:p>
        </w:tc>
        <w:tc>
          <w:tcPr>
            <w:tcW w:w="650" w:type="pct"/>
            <w:shd w:val="clear" w:color="auto" w:fill="auto"/>
            <w:noWrap/>
            <w:vAlign w:val="bottom"/>
            <w:hideMark/>
          </w:tcPr>
          <w:p w:rsidR="001C5877" w:rsidRPr="00A40E27" w:rsidRDefault="008416C9" w:rsidP="008416C9">
            <w:pPr>
              <w:rPr>
                <w:color w:val="000000"/>
                <w:sz w:val="20"/>
              </w:rPr>
            </w:pPr>
            <w:r>
              <w:rPr>
                <w:sz w:val="20"/>
              </w:rPr>
              <w:t xml:space="preserve"> </w:t>
            </w:r>
            <w:r w:rsidR="001C5877" w:rsidRPr="00A40E27">
              <w:rPr>
                <w:sz w:val="20"/>
              </w:rPr>
              <w:t>1.0000***</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0.4930</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IFRS_USGAAP</w:t>
            </w:r>
          </w:p>
        </w:tc>
        <w:tc>
          <w:tcPr>
            <w:tcW w:w="300" w:type="pct"/>
            <w:shd w:val="clear" w:color="auto" w:fill="auto"/>
            <w:noWrap/>
            <w:vAlign w:val="bottom"/>
            <w:hideMark/>
          </w:tcPr>
          <w:p w:rsidR="001C5877" w:rsidRPr="00A40E27" w:rsidRDefault="001C5877" w:rsidP="00714358">
            <w:pPr>
              <w:jc w:val="right"/>
              <w:rPr>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0.4749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0.0000</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0.4995</w:t>
            </w:r>
          </w:p>
        </w:tc>
        <w:tc>
          <w:tcPr>
            <w:tcW w:w="300" w:type="pct"/>
            <w:shd w:val="clear" w:color="auto" w:fill="auto"/>
            <w:noWrap/>
            <w:vAlign w:val="bottom"/>
            <w:hideMark/>
          </w:tcPr>
          <w:p w:rsidR="001C5877" w:rsidRPr="00A40E27" w:rsidRDefault="001C5877" w:rsidP="00714358">
            <w:pPr>
              <w:jc w:val="right"/>
              <w:rPr>
                <w:sz w:val="20"/>
              </w:rPr>
            </w:pPr>
            <w:r w:rsidRPr="00A40E27">
              <w:rPr>
                <w:sz w:val="20"/>
              </w:rPr>
              <w:t>832</w:t>
            </w:r>
          </w:p>
        </w:tc>
        <w:tc>
          <w:tcPr>
            <w:tcW w:w="650" w:type="pct"/>
            <w:shd w:val="clear" w:color="auto" w:fill="auto"/>
            <w:noWrap/>
            <w:vAlign w:val="bottom"/>
            <w:hideMark/>
          </w:tcPr>
          <w:p w:rsidR="001C5877" w:rsidRPr="00A40E27" w:rsidRDefault="008416C9" w:rsidP="001C5877">
            <w:pPr>
              <w:rPr>
                <w:color w:val="000000"/>
                <w:sz w:val="20"/>
              </w:rPr>
            </w:pPr>
            <w:r>
              <w:rPr>
                <w:sz w:val="20"/>
              </w:rPr>
              <w:t xml:space="preserve">  </w:t>
            </w:r>
            <w:r w:rsidR="001C5877" w:rsidRPr="00A40E27">
              <w:rPr>
                <w:sz w:val="20"/>
              </w:rPr>
              <w:t>0.4952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0.0000</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0.5003</w:t>
            </w:r>
          </w:p>
        </w:tc>
      </w:tr>
      <w:tr w:rsidR="001C5877" w:rsidRPr="00A40E27" w:rsidTr="00FD5BBA">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USCROSSLISTED</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0.0173</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0.0000</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0.1303</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0.0072**</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0.0000**</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0.0847</w:t>
            </w:r>
          </w:p>
        </w:tc>
      </w:tr>
      <w:tr w:rsidR="001C5877" w:rsidRPr="00A40E27" w:rsidTr="00F64E7E">
        <w:trPr>
          <w:trHeight w:hRule="exact" w:val="389"/>
          <w:jc w:val="center"/>
        </w:trPr>
        <w:tc>
          <w:tcPr>
            <w:tcW w:w="967" w:type="pct"/>
            <w:shd w:val="clear" w:color="auto" w:fill="auto"/>
            <w:noWrap/>
            <w:vAlign w:val="bottom"/>
            <w:hideMark/>
          </w:tcPr>
          <w:p w:rsidR="001C5877" w:rsidRPr="00A40E27" w:rsidRDefault="001C5877" w:rsidP="00714358">
            <w:pPr>
              <w:rPr>
                <w:color w:val="000000"/>
                <w:sz w:val="20"/>
              </w:rPr>
            </w:pPr>
            <w:r w:rsidRPr="00A40E27">
              <w:rPr>
                <w:color w:val="000000"/>
                <w:sz w:val="20"/>
              </w:rPr>
              <w:t xml:space="preserve"># </w:t>
            </w:r>
            <w:proofErr w:type="spellStart"/>
            <w:r w:rsidRPr="00A40E27">
              <w:rPr>
                <w:color w:val="000000"/>
                <w:sz w:val="20"/>
              </w:rPr>
              <w:t>FExchanges</w:t>
            </w:r>
            <w:proofErr w:type="spellEnd"/>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1,969</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0.2016</w:t>
            </w:r>
          </w:p>
        </w:tc>
        <w:tc>
          <w:tcPr>
            <w:tcW w:w="650" w:type="pct"/>
            <w:shd w:val="clear" w:color="auto" w:fill="auto"/>
            <w:noWrap/>
            <w:vAlign w:val="bottom"/>
            <w:hideMark/>
          </w:tcPr>
          <w:p w:rsidR="001C5877" w:rsidRPr="00A40E27" w:rsidRDefault="001C5877" w:rsidP="001C5877">
            <w:pPr>
              <w:jc w:val="center"/>
              <w:rPr>
                <w:color w:val="000000"/>
                <w:sz w:val="20"/>
              </w:rPr>
            </w:pPr>
            <w:r w:rsidRPr="00A40E27">
              <w:rPr>
                <w:sz w:val="20"/>
              </w:rPr>
              <w:t>0.0000</w:t>
            </w:r>
          </w:p>
        </w:tc>
        <w:tc>
          <w:tcPr>
            <w:tcW w:w="350" w:type="pct"/>
            <w:tcBorders>
              <w:right w:val="single" w:sz="4" w:space="0" w:color="auto"/>
            </w:tcBorders>
            <w:shd w:val="clear" w:color="auto" w:fill="auto"/>
            <w:noWrap/>
            <w:vAlign w:val="bottom"/>
            <w:hideMark/>
          </w:tcPr>
          <w:p w:rsidR="001C5877" w:rsidRPr="00A40E27" w:rsidRDefault="001C5877" w:rsidP="00714358">
            <w:pPr>
              <w:jc w:val="right"/>
              <w:rPr>
                <w:color w:val="000000"/>
                <w:sz w:val="20"/>
              </w:rPr>
            </w:pPr>
            <w:r w:rsidRPr="00A40E27">
              <w:rPr>
                <w:sz w:val="20"/>
              </w:rPr>
              <w:t>0.7287</w:t>
            </w:r>
          </w:p>
        </w:tc>
        <w:tc>
          <w:tcPr>
            <w:tcW w:w="300" w:type="pct"/>
            <w:shd w:val="clear" w:color="auto" w:fill="auto"/>
            <w:noWrap/>
            <w:vAlign w:val="bottom"/>
            <w:hideMark/>
          </w:tcPr>
          <w:p w:rsidR="001C5877" w:rsidRPr="00A40E27" w:rsidRDefault="001C5877" w:rsidP="00714358">
            <w:pPr>
              <w:jc w:val="right"/>
              <w:rPr>
                <w:color w:val="000000"/>
                <w:sz w:val="20"/>
              </w:rPr>
            </w:pPr>
            <w:r w:rsidRPr="00A40E27">
              <w:rPr>
                <w:sz w:val="20"/>
              </w:rPr>
              <w:t>832</w:t>
            </w:r>
          </w:p>
        </w:tc>
        <w:tc>
          <w:tcPr>
            <w:tcW w:w="650" w:type="pct"/>
            <w:shd w:val="clear" w:color="auto" w:fill="auto"/>
            <w:noWrap/>
            <w:vAlign w:val="bottom"/>
            <w:hideMark/>
          </w:tcPr>
          <w:p w:rsidR="001C5877" w:rsidRPr="00A40E27" w:rsidRDefault="008416C9" w:rsidP="001C5877">
            <w:pPr>
              <w:rPr>
                <w:color w:val="000000"/>
                <w:sz w:val="20"/>
              </w:rPr>
            </w:pPr>
            <w:r>
              <w:rPr>
                <w:sz w:val="20"/>
              </w:rPr>
              <w:t xml:space="preserve"> </w:t>
            </w:r>
            <w:r w:rsidR="001C5877">
              <w:rPr>
                <w:sz w:val="20"/>
              </w:rPr>
              <w:t xml:space="preserve"> </w:t>
            </w:r>
            <w:r w:rsidR="001C5877" w:rsidRPr="00A40E27">
              <w:rPr>
                <w:sz w:val="20"/>
              </w:rPr>
              <w:t>0.1791</w:t>
            </w:r>
          </w:p>
        </w:tc>
        <w:tc>
          <w:tcPr>
            <w:tcW w:w="650" w:type="pct"/>
            <w:shd w:val="clear" w:color="auto" w:fill="auto"/>
            <w:noWrap/>
            <w:vAlign w:val="bottom"/>
            <w:hideMark/>
          </w:tcPr>
          <w:p w:rsidR="001C5877" w:rsidRPr="00A40E27" w:rsidRDefault="001C5877" w:rsidP="001C5877">
            <w:pPr>
              <w:rPr>
                <w:color w:val="000000"/>
                <w:sz w:val="20"/>
              </w:rPr>
            </w:pPr>
            <w:r>
              <w:rPr>
                <w:sz w:val="20"/>
              </w:rPr>
              <w:t xml:space="preserve"> </w:t>
            </w:r>
            <w:r w:rsidRPr="00A40E27">
              <w:rPr>
                <w:sz w:val="20"/>
              </w:rPr>
              <w:t>0.0000</w:t>
            </w:r>
          </w:p>
        </w:tc>
        <w:tc>
          <w:tcPr>
            <w:tcW w:w="400" w:type="pct"/>
            <w:shd w:val="clear" w:color="auto" w:fill="auto"/>
            <w:noWrap/>
            <w:vAlign w:val="bottom"/>
            <w:hideMark/>
          </w:tcPr>
          <w:p w:rsidR="001C5877" w:rsidRPr="00A40E27" w:rsidRDefault="001C5877" w:rsidP="00714358">
            <w:pPr>
              <w:jc w:val="right"/>
              <w:rPr>
                <w:color w:val="000000"/>
                <w:sz w:val="20"/>
              </w:rPr>
            </w:pPr>
            <w:r w:rsidRPr="00A40E27">
              <w:rPr>
                <w:sz w:val="20"/>
              </w:rPr>
              <w:t>0.6474</w:t>
            </w:r>
          </w:p>
        </w:tc>
      </w:tr>
      <w:tr w:rsidR="001C5877" w:rsidRPr="00A40E27" w:rsidTr="00F64E7E">
        <w:trPr>
          <w:trHeight w:hRule="exact" w:val="389"/>
          <w:jc w:val="center"/>
        </w:trPr>
        <w:tc>
          <w:tcPr>
            <w:tcW w:w="967" w:type="pct"/>
            <w:tcBorders>
              <w:bottom w:val="single" w:sz="12" w:space="0" w:color="auto"/>
            </w:tcBorders>
            <w:shd w:val="clear" w:color="auto" w:fill="auto"/>
            <w:noWrap/>
            <w:vAlign w:val="bottom"/>
            <w:hideMark/>
          </w:tcPr>
          <w:p w:rsidR="001C5877" w:rsidRPr="00A40E27" w:rsidRDefault="001C5877" w:rsidP="00714358">
            <w:pPr>
              <w:rPr>
                <w:color w:val="000000"/>
                <w:sz w:val="20"/>
              </w:rPr>
            </w:pPr>
            <w:proofErr w:type="spellStart"/>
            <w:r w:rsidRPr="00A40E27">
              <w:rPr>
                <w:color w:val="000000"/>
                <w:sz w:val="20"/>
              </w:rPr>
              <w:t>re</w:t>
            </w:r>
            <w:r>
              <w:rPr>
                <w:color w:val="000000"/>
                <w:sz w:val="20"/>
              </w:rPr>
              <w:t>t</w:t>
            </w:r>
            <w:r w:rsidRPr="00A40E27">
              <w:rPr>
                <w:color w:val="000000"/>
                <w:sz w:val="20"/>
              </w:rPr>
              <w:t>_std</w:t>
            </w:r>
            <w:proofErr w:type="spellEnd"/>
          </w:p>
        </w:tc>
        <w:tc>
          <w:tcPr>
            <w:tcW w:w="300" w:type="pct"/>
            <w:tcBorders>
              <w:bottom w:val="single" w:sz="12" w:space="0" w:color="auto"/>
            </w:tcBorders>
            <w:shd w:val="clear" w:color="auto" w:fill="auto"/>
            <w:noWrap/>
            <w:vAlign w:val="bottom"/>
            <w:hideMark/>
          </w:tcPr>
          <w:p w:rsidR="001C5877" w:rsidRPr="00A40E27" w:rsidRDefault="001C5877" w:rsidP="00714358">
            <w:pPr>
              <w:jc w:val="right"/>
              <w:rPr>
                <w:sz w:val="20"/>
              </w:rPr>
            </w:pPr>
            <w:r w:rsidRPr="00A40E27">
              <w:rPr>
                <w:sz w:val="20"/>
              </w:rPr>
              <w:t>1,969</w:t>
            </w:r>
          </w:p>
        </w:tc>
        <w:tc>
          <w:tcPr>
            <w:tcW w:w="650" w:type="pct"/>
            <w:tcBorders>
              <w:bottom w:val="single" w:sz="12" w:space="0" w:color="auto"/>
            </w:tcBorders>
            <w:shd w:val="clear" w:color="auto" w:fill="auto"/>
            <w:noWrap/>
            <w:vAlign w:val="bottom"/>
            <w:hideMark/>
          </w:tcPr>
          <w:p w:rsidR="001C5877" w:rsidRPr="00A40E27" w:rsidRDefault="001C5877" w:rsidP="001C5877">
            <w:pPr>
              <w:jc w:val="center"/>
              <w:rPr>
                <w:sz w:val="20"/>
              </w:rPr>
            </w:pPr>
            <w:r w:rsidRPr="00A40E27">
              <w:rPr>
                <w:sz w:val="20"/>
              </w:rPr>
              <w:t>0.0180</w:t>
            </w:r>
          </w:p>
        </w:tc>
        <w:tc>
          <w:tcPr>
            <w:tcW w:w="650" w:type="pct"/>
            <w:tcBorders>
              <w:bottom w:val="single" w:sz="12" w:space="0" w:color="auto"/>
            </w:tcBorders>
            <w:shd w:val="clear" w:color="auto" w:fill="auto"/>
            <w:noWrap/>
            <w:vAlign w:val="bottom"/>
            <w:hideMark/>
          </w:tcPr>
          <w:p w:rsidR="001C5877" w:rsidRPr="00A40E27" w:rsidRDefault="001C5877" w:rsidP="001C5877">
            <w:pPr>
              <w:jc w:val="center"/>
              <w:rPr>
                <w:sz w:val="20"/>
              </w:rPr>
            </w:pPr>
            <w:r w:rsidRPr="00A40E27">
              <w:rPr>
                <w:sz w:val="20"/>
              </w:rPr>
              <w:t>0.0159</w:t>
            </w:r>
          </w:p>
        </w:tc>
        <w:tc>
          <w:tcPr>
            <w:tcW w:w="350" w:type="pct"/>
            <w:tcBorders>
              <w:bottom w:val="single" w:sz="12" w:space="0" w:color="auto"/>
              <w:right w:val="single" w:sz="4" w:space="0" w:color="auto"/>
            </w:tcBorders>
            <w:shd w:val="clear" w:color="auto" w:fill="auto"/>
            <w:noWrap/>
            <w:vAlign w:val="bottom"/>
            <w:hideMark/>
          </w:tcPr>
          <w:p w:rsidR="001C5877" w:rsidRPr="00A40E27" w:rsidRDefault="001C5877" w:rsidP="00714358">
            <w:pPr>
              <w:jc w:val="right"/>
              <w:rPr>
                <w:sz w:val="20"/>
              </w:rPr>
            </w:pPr>
            <w:r w:rsidRPr="00A40E27">
              <w:rPr>
                <w:sz w:val="20"/>
              </w:rPr>
              <w:t>0.0150</w:t>
            </w:r>
          </w:p>
        </w:tc>
        <w:tc>
          <w:tcPr>
            <w:tcW w:w="300" w:type="pct"/>
            <w:tcBorders>
              <w:bottom w:val="single" w:sz="12" w:space="0" w:color="auto"/>
            </w:tcBorders>
            <w:shd w:val="clear" w:color="auto" w:fill="auto"/>
            <w:noWrap/>
            <w:vAlign w:val="bottom"/>
            <w:hideMark/>
          </w:tcPr>
          <w:p w:rsidR="001C5877" w:rsidRPr="00A40E27" w:rsidRDefault="001C5877" w:rsidP="00714358">
            <w:pPr>
              <w:jc w:val="right"/>
              <w:rPr>
                <w:sz w:val="20"/>
              </w:rPr>
            </w:pPr>
            <w:r w:rsidRPr="00A40E27">
              <w:rPr>
                <w:sz w:val="20"/>
              </w:rPr>
              <w:t>832</w:t>
            </w:r>
          </w:p>
        </w:tc>
        <w:tc>
          <w:tcPr>
            <w:tcW w:w="650" w:type="pct"/>
            <w:tcBorders>
              <w:bottom w:val="single" w:sz="12" w:space="0" w:color="auto"/>
            </w:tcBorders>
            <w:shd w:val="clear" w:color="auto" w:fill="auto"/>
            <w:noWrap/>
            <w:vAlign w:val="bottom"/>
            <w:hideMark/>
          </w:tcPr>
          <w:p w:rsidR="001C5877" w:rsidRPr="00A40E27" w:rsidRDefault="008416C9" w:rsidP="001C5877">
            <w:pPr>
              <w:jc w:val="center"/>
              <w:rPr>
                <w:sz w:val="20"/>
              </w:rPr>
            </w:pPr>
            <w:r>
              <w:rPr>
                <w:sz w:val="20"/>
              </w:rPr>
              <w:t xml:space="preserve">  </w:t>
            </w:r>
            <w:r w:rsidR="001C5877" w:rsidRPr="00A40E27">
              <w:rPr>
                <w:sz w:val="20"/>
              </w:rPr>
              <w:t>0.0217***</w:t>
            </w:r>
          </w:p>
        </w:tc>
        <w:tc>
          <w:tcPr>
            <w:tcW w:w="650" w:type="pct"/>
            <w:tcBorders>
              <w:bottom w:val="single" w:sz="12" w:space="0" w:color="auto"/>
            </w:tcBorders>
            <w:shd w:val="clear" w:color="auto" w:fill="auto"/>
            <w:noWrap/>
            <w:vAlign w:val="bottom"/>
            <w:hideMark/>
          </w:tcPr>
          <w:p w:rsidR="001C5877" w:rsidRPr="00A40E27" w:rsidRDefault="001C5877" w:rsidP="001C5877">
            <w:pPr>
              <w:jc w:val="center"/>
              <w:rPr>
                <w:sz w:val="20"/>
              </w:rPr>
            </w:pPr>
            <w:r w:rsidRPr="00A40E27">
              <w:rPr>
                <w:sz w:val="20"/>
              </w:rPr>
              <w:t>0.0181***</w:t>
            </w:r>
          </w:p>
        </w:tc>
        <w:tc>
          <w:tcPr>
            <w:tcW w:w="400" w:type="pct"/>
            <w:tcBorders>
              <w:bottom w:val="single" w:sz="12" w:space="0" w:color="auto"/>
            </w:tcBorders>
            <w:shd w:val="clear" w:color="auto" w:fill="auto"/>
            <w:noWrap/>
            <w:vAlign w:val="bottom"/>
            <w:hideMark/>
          </w:tcPr>
          <w:p w:rsidR="001C5877" w:rsidRPr="00A40E27" w:rsidRDefault="001C5877" w:rsidP="00714358">
            <w:pPr>
              <w:jc w:val="right"/>
              <w:rPr>
                <w:sz w:val="20"/>
              </w:rPr>
            </w:pPr>
            <w:r w:rsidRPr="00A40E27">
              <w:rPr>
                <w:sz w:val="20"/>
              </w:rPr>
              <w:t>0.0114</w:t>
            </w:r>
          </w:p>
        </w:tc>
      </w:tr>
    </w:tbl>
    <w:p w:rsidR="00467D6A" w:rsidRDefault="00467D6A" w:rsidP="00A44F5C">
      <w:pPr>
        <w:ind w:right="-4"/>
        <w:jc w:val="both"/>
        <w:rPr>
          <w:sz w:val="20"/>
        </w:rPr>
      </w:pPr>
    </w:p>
    <w:p w:rsidR="00A44F5C" w:rsidRDefault="00A44F5C" w:rsidP="00A44F5C">
      <w:pPr>
        <w:ind w:right="-4"/>
        <w:jc w:val="both"/>
        <w:rPr>
          <w:sz w:val="20"/>
          <w:szCs w:val="20"/>
        </w:rPr>
      </w:pPr>
      <w:r w:rsidRPr="00A40E27">
        <w:rPr>
          <w:sz w:val="20"/>
        </w:rPr>
        <w:t xml:space="preserve">The table provides the sample selection procedure and descriptive statistics for the variables included in the analysis. </w:t>
      </w:r>
      <w:r w:rsidRPr="00A40E27">
        <w:rPr>
          <w:sz w:val="20"/>
          <w:szCs w:val="20"/>
        </w:rPr>
        <w:t>Panel A shows the sample selection procedure. Panel B shows the values for the mean, median, standard deviation, 1</w:t>
      </w:r>
      <w:r w:rsidRPr="00A40E27">
        <w:rPr>
          <w:sz w:val="20"/>
          <w:szCs w:val="20"/>
          <w:vertAlign w:val="superscript"/>
        </w:rPr>
        <w:t>st</w:t>
      </w:r>
      <w:r w:rsidRPr="00A40E27">
        <w:rPr>
          <w:sz w:val="13"/>
          <w:szCs w:val="13"/>
        </w:rPr>
        <w:t xml:space="preserve"> </w:t>
      </w:r>
      <w:r w:rsidRPr="00A40E27">
        <w:rPr>
          <w:sz w:val="20"/>
          <w:szCs w:val="20"/>
        </w:rPr>
        <w:t>and 3</w:t>
      </w:r>
      <w:r w:rsidRPr="00A40E27">
        <w:rPr>
          <w:sz w:val="20"/>
          <w:szCs w:val="20"/>
          <w:vertAlign w:val="superscript"/>
        </w:rPr>
        <w:t>rd</w:t>
      </w:r>
      <w:r w:rsidRPr="00A40E27">
        <w:rPr>
          <w:sz w:val="13"/>
          <w:szCs w:val="13"/>
        </w:rPr>
        <w:t xml:space="preserve"> </w:t>
      </w:r>
      <w:r w:rsidRPr="00A40E27">
        <w:rPr>
          <w:sz w:val="20"/>
          <w:szCs w:val="20"/>
        </w:rPr>
        <w:t xml:space="preserve">quartile for a number of characteristics of the firm-year observations included in our full sample. Finally, Panel C of the </w:t>
      </w:r>
      <w:r>
        <w:rPr>
          <w:sz w:val="20"/>
          <w:szCs w:val="20"/>
        </w:rPr>
        <w:t>t</w:t>
      </w:r>
      <w:r w:rsidRPr="00A40E27">
        <w:rPr>
          <w:sz w:val="20"/>
          <w:szCs w:val="20"/>
        </w:rPr>
        <w:t>able provides data on the same characteristics for firm-year observations split by segment and calculated separately for the pr</w:t>
      </w:r>
      <w:r>
        <w:rPr>
          <w:sz w:val="20"/>
          <w:szCs w:val="20"/>
        </w:rPr>
        <w:t>e- and post-merger period. Panel C</w:t>
      </w:r>
      <w:r w:rsidRPr="00A40E27">
        <w:rPr>
          <w:sz w:val="20"/>
          <w:szCs w:val="20"/>
        </w:rPr>
        <w:t xml:space="preserve"> also shows a comparison between the means and medians of the firm characteristics based on a t-test and a </w:t>
      </w:r>
      <w:r w:rsidR="00AE44BB" w:rsidRPr="00A40E27">
        <w:rPr>
          <w:sz w:val="20"/>
          <w:szCs w:val="20"/>
        </w:rPr>
        <w:t>Wil</w:t>
      </w:r>
      <w:r w:rsidR="00AE44BB">
        <w:rPr>
          <w:sz w:val="20"/>
          <w:szCs w:val="20"/>
        </w:rPr>
        <w:t>c</w:t>
      </w:r>
      <w:r w:rsidR="00AE44BB" w:rsidRPr="00A40E27">
        <w:rPr>
          <w:sz w:val="20"/>
          <w:szCs w:val="20"/>
        </w:rPr>
        <w:t xml:space="preserve">oxon </w:t>
      </w:r>
      <w:r w:rsidRPr="00A40E27">
        <w:rPr>
          <w:sz w:val="20"/>
          <w:szCs w:val="20"/>
        </w:rPr>
        <w:t xml:space="preserve">rank-sum test, respectively. *** indicates statistical </w:t>
      </w:r>
      <w:r w:rsidR="006E74DC" w:rsidRPr="00A40E27">
        <w:rPr>
          <w:sz w:val="20"/>
          <w:szCs w:val="20"/>
        </w:rPr>
        <w:t>significan</w:t>
      </w:r>
      <w:r w:rsidR="006E74DC">
        <w:rPr>
          <w:sz w:val="20"/>
          <w:szCs w:val="20"/>
        </w:rPr>
        <w:t>ce</w:t>
      </w:r>
      <w:r w:rsidR="006E74DC" w:rsidRPr="00A40E27">
        <w:rPr>
          <w:sz w:val="20"/>
          <w:szCs w:val="20"/>
        </w:rPr>
        <w:t xml:space="preserve"> </w:t>
      </w:r>
      <w:r w:rsidRPr="00A40E27">
        <w:rPr>
          <w:sz w:val="20"/>
          <w:szCs w:val="20"/>
        </w:rPr>
        <w:t xml:space="preserve">at the 0.01 level, ** indicates statistical significance at the 0.05 level, and * indicates statistical </w:t>
      </w:r>
      <w:r w:rsidR="006E74DC" w:rsidRPr="00A40E27">
        <w:rPr>
          <w:sz w:val="20"/>
          <w:szCs w:val="20"/>
        </w:rPr>
        <w:t>significan</w:t>
      </w:r>
      <w:r w:rsidR="006E74DC">
        <w:rPr>
          <w:sz w:val="20"/>
          <w:szCs w:val="20"/>
        </w:rPr>
        <w:t>ce</w:t>
      </w:r>
      <w:r w:rsidR="006E74DC" w:rsidRPr="00A40E27">
        <w:rPr>
          <w:sz w:val="20"/>
          <w:szCs w:val="20"/>
        </w:rPr>
        <w:t xml:space="preserve"> </w:t>
      </w:r>
      <w:r w:rsidRPr="00A40E27">
        <w:rPr>
          <w:sz w:val="20"/>
          <w:szCs w:val="20"/>
        </w:rPr>
        <w:t xml:space="preserve">at the 0.10 level. All variables are as defined in </w:t>
      </w:r>
      <w:r>
        <w:rPr>
          <w:sz w:val="20"/>
          <w:szCs w:val="20"/>
        </w:rPr>
        <w:t>t</w:t>
      </w:r>
      <w:r w:rsidRPr="00A40E27">
        <w:rPr>
          <w:sz w:val="20"/>
          <w:szCs w:val="20"/>
        </w:rPr>
        <w:t>able 2 of the paper.</w:t>
      </w:r>
    </w:p>
    <w:p w:rsidR="00A44F5C" w:rsidRDefault="00A44F5C" w:rsidP="00A44F5C">
      <w:pPr>
        <w:ind w:right="-4"/>
        <w:jc w:val="both"/>
        <w:rPr>
          <w:sz w:val="20"/>
          <w:szCs w:val="20"/>
        </w:rPr>
      </w:pPr>
    </w:p>
    <w:p w:rsidR="00A44F5C" w:rsidRDefault="00A44F5C" w:rsidP="00A44F5C">
      <w:pPr>
        <w:ind w:right="-4"/>
        <w:jc w:val="both"/>
        <w:rPr>
          <w:sz w:val="20"/>
          <w:szCs w:val="20"/>
        </w:rPr>
      </w:pPr>
    </w:p>
    <w:p w:rsidR="00A44F5C" w:rsidRDefault="00A44F5C" w:rsidP="00A44F5C">
      <w:pPr>
        <w:ind w:right="-4"/>
        <w:jc w:val="both"/>
        <w:rPr>
          <w:sz w:val="20"/>
          <w:szCs w:val="20"/>
        </w:rPr>
      </w:pPr>
    </w:p>
    <w:p w:rsidR="00A44F5C" w:rsidRDefault="00A44F5C" w:rsidP="00A44F5C">
      <w:pPr>
        <w:jc w:val="center"/>
        <w:rPr>
          <w:b/>
          <w:color w:val="000000"/>
        </w:rPr>
        <w:sectPr w:rsidR="00A44F5C" w:rsidSect="00467D6A">
          <w:pgSz w:w="12240" w:h="15840"/>
          <w:pgMar w:top="1440" w:right="1440" w:bottom="1440" w:left="1440" w:header="720" w:footer="720" w:gutter="0"/>
          <w:cols w:space="720"/>
          <w:docGrid w:linePitch="360"/>
        </w:sectPr>
      </w:pPr>
    </w:p>
    <w:p w:rsidR="00A44F5C" w:rsidRPr="00A40E27" w:rsidRDefault="00A44F5C" w:rsidP="00A44F5C">
      <w:pPr>
        <w:jc w:val="center"/>
        <w:rPr>
          <w:b/>
        </w:rPr>
      </w:pPr>
      <w:proofErr w:type="gramStart"/>
      <w:r w:rsidRPr="00A40E27">
        <w:rPr>
          <w:b/>
          <w:color w:val="000000"/>
        </w:rPr>
        <w:lastRenderedPageBreak/>
        <w:t>Table 4.</w:t>
      </w:r>
      <w:proofErr w:type="gramEnd"/>
      <w:r w:rsidRPr="00A40E27">
        <w:rPr>
          <w:b/>
          <w:color w:val="000000"/>
        </w:rPr>
        <w:t xml:space="preserve"> </w:t>
      </w:r>
      <w:r w:rsidRPr="00A40E27">
        <w:rPr>
          <w:b/>
        </w:rPr>
        <w:t xml:space="preserve">Liquidity </w:t>
      </w:r>
      <w:r w:rsidR="00C81DDE">
        <w:rPr>
          <w:b/>
        </w:rPr>
        <w:t>regression r</w:t>
      </w:r>
      <w:r w:rsidRPr="00A40E27">
        <w:rPr>
          <w:b/>
        </w:rPr>
        <w:t>esults</w:t>
      </w:r>
    </w:p>
    <w:tbl>
      <w:tblPr>
        <w:tblStyle w:val="TableGrid"/>
        <w:tblW w:w="5000" w:type="pct"/>
        <w:jc w:val="center"/>
        <w:tblLayout w:type="fixed"/>
        <w:tblLook w:val="04A0" w:firstRow="1" w:lastRow="0" w:firstColumn="1" w:lastColumn="0" w:noHBand="0" w:noVBand="1"/>
      </w:tblPr>
      <w:tblGrid>
        <w:gridCol w:w="1782"/>
        <w:gridCol w:w="1299"/>
        <w:gridCol w:w="1299"/>
        <w:gridCol w:w="1299"/>
        <w:gridCol w:w="1299"/>
        <w:gridCol w:w="1299"/>
        <w:gridCol w:w="1299"/>
      </w:tblGrid>
      <w:tr w:rsidR="00F02F62" w:rsidRPr="006608E0" w:rsidTr="00FD5BBA">
        <w:trPr>
          <w:jc w:val="center"/>
        </w:trPr>
        <w:tc>
          <w:tcPr>
            <w:tcW w:w="931" w:type="pct"/>
            <w:tcBorders>
              <w:top w:val="single" w:sz="12" w:space="0" w:color="auto"/>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(5)</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(6)</w:t>
            </w:r>
          </w:p>
        </w:tc>
      </w:tr>
      <w:tr w:rsidR="00F02F62" w:rsidRPr="006608E0" w:rsidTr="00FD5BBA">
        <w:trPr>
          <w:jc w:val="center"/>
        </w:trPr>
        <w:tc>
          <w:tcPr>
            <w:tcW w:w="931" w:type="pct"/>
            <w:tcBorders>
              <w:top w:val="nil"/>
              <w:left w:val="nil"/>
              <w:bottom w:val="single" w:sz="12" w:space="0" w:color="auto"/>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single" w:sz="12" w:space="0" w:color="auto"/>
              <w:right w:val="nil"/>
            </w:tcBorders>
          </w:tcPr>
          <w:p w:rsidR="00FD5BBA" w:rsidRDefault="00FD5BBA"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P</w:t>
            </w:r>
            <w:r w:rsidR="00F02F62" w:rsidRPr="006608E0">
              <w:rPr>
                <w:rFonts w:ascii="Times New Roman" w:hAnsi="Times New Roman"/>
                <w:sz w:val="18"/>
                <w:szCs w:val="18"/>
              </w:rPr>
              <w:t>erc</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zeroret</w:t>
            </w:r>
            <w:proofErr w:type="spellEnd"/>
          </w:p>
        </w:tc>
        <w:tc>
          <w:tcPr>
            <w:tcW w:w="678" w:type="pct"/>
            <w:tcBorders>
              <w:top w:val="nil"/>
              <w:left w:val="nil"/>
              <w:bottom w:val="single" w:sz="12" w:space="0" w:color="auto"/>
              <w:right w:val="nil"/>
            </w:tcBorders>
          </w:tcPr>
          <w:p w:rsidR="00FD5BBA" w:rsidRDefault="00FD5BBA"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P</w:t>
            </w:r>
            <w:r w:rsidR="00F02F62" w:rsidRPr="006608E0">
              <w:rPr>
                <w:rFonts w:ascii="Times New Roman" w:hAnsi="Times New Roman"/>
                <w:sz w:val="18"/>
                <w:szCs w:val="18"/>
              </w:rPr>
              <w:t>erc</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zeroret</w:t>
            </w:r>
            <w:proofErr w:type="spellEnd"/>
          </w:p>
        </w:tc>
        <w:tc>
          <w:tcPr>
            <w:tcW w:w="678" w:type="pct"/>
            <w:tcBorders>
              <w:top w:val="nil"/>
              <w:left w:val="nil"/>
              <w:bottom w:val="single" w:sz="12" w:space="0" w:color="auto"/>
              <w:right w:val="nil"/>
            </w:tcBorders>
          </w:tcPr>
          <w:p w:rsidR="00FD5BBA" w:rsidRDefault="00FD5BBA"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P</w:t>
            </w:r>
            <w:r w:rsidR="00F02F62" w:rsidRPr="006608E0">
              <w:rPr>
                <w:rFonts w:ascii="Times New Roman" w:hAnsi="Times New Roman"/>
                <w:sz w:val="18"/>
                <w:szCs w:val="18"/>
              </w:rPr>
              <w:t>erc</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zeroret</w:t>
            </w:r>
            <w:proofErr w:type="spellEnd"/>
          </w:p>
        </w:tc>
        <w:tc>
          <w:tcPr>
            <w:tcW w:w="678" w:type="pct"/>
            <w:tcBorders>
              <w:top w:val="nil"/>
              <w:left w:val="nil"/>
              <w:bottom w:val="single" w:sz="12" w:space="0" w:color="auto"/>
              <w:right w:val="nil"/>
            </w:tcBorders>
          </w:tcPr>
          <w:p w:rsidR="00FD5BBA" w:rsidRDefault="00F02F62"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log_mn</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bidask</w:t>
            </w:r>
            <w:proofErr w:type="spellEnd"/>
          </w:p>
        </w:tc>
        <w:tc>
          <w:tcPr>
            <w:tcW w:w="678" w:type="pct"/>
            <w:tcBorders>
              <w:top w:val="nil"/>
              <w:left w:val="nil"/>
              <w:bottom w:val="single" w:sz="12" w:space="0" w:color="auto"/>
              <w:right w:val="nil"/>
            </w:tcBorders>
          </w:tcPr>
          <w:p w:rsidR="00FD5BBA" w:rsidRDefault="00F02F62"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log_mn</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bidask</w:t>
            </w:r>
            <w:proofErr w:type="spellEnd"/>
          </w:p>
        </w:tc>
        <w:tc>
          <w:tcPr>
            <w:tcW w:w="678" w:type="pct"/>
            <w:tcBorders>
              <w:top w:val="nil"/>
              <w:left w:val="nil"/>
              <w:bottom w:val="single" w:sz="12" w:space="0" w:color="auto"/>
              <w:right w:val="nil"/>
            </w:tcBorders>
          </w:tcPr>
          <w:p w:rsidR="00FD5BBA" w:rsidRDefault="00F02F62" w:rsidP="00714358">
            <w:pPr>
              <w:pStyle w:val="PlainText"/>
              <w:jc w:val="center"/>
              <w:rPr>
                <w:rFonts w:ascii="Times New Roman" w:hAnsi="Times New Roman"/>
                <w:sz w:val="18"/>
                <w:szCs w:val="18"/>
              </w:rPr>
            </w:pPr>
            <w:proofErr w:type="spellStart"/>
            <w:r w:rsidRPr="006608E0">
              <w:rPr>
                <w:rFonts w:ascii="Times New Roman" w:hAnsi="Times New Roman"/>
                <w:sz w:val="18"/>
                <w:szCs w:val="18"/>
              </w:rPr>
              <w:t>log_mn</w:t>
            </w:r>
            <w:proofErr w:type="spellEnd"/>
          </w:p>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_</w:t>
            </w:r>
            <w:proofErr w:type="spellStart"/>
            <w:r w:rsidRPr="006608E0">
              <w:rPr>
                <w:rFonts w:ascii="Times New Roman" w:hAnsi="Times New Roman"/>
                <w:sz w:val="18"/>
                <w:szCs w:val="18"/>
              </w:rPr>
              <w:t>bidask</w:t>
            </w:r>
            <w:proofErr w:type="spellEnd"/>
          </w:p>
        </w:tc>
      </w:tr>
      <w:tr w:rsidR="00F02F62" w:rsidRPr="006608E0" w:rsidTr="00FD5BBA">
        <w:trPr>
          <w:jc w:val="center"/>
        </w:trPr>
        <w:tc>
          <w:tcPr>
            <w:tcW w:w="931" w:type="pct"/>
            <w:tcBorders>
              <w:top w:val="single" w:sz="12" w:space="0" w:color="auto"/>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Post</w:t>
            </w:r>
            <w:r>
              <w:rPr>
                <w:rFonts w:ascii="Times New Roman" w:hAnsi="Times New Roman"/>
                <w:sz w:val="18"/>
                <w:szCs w:val="18"/>
              </w:rPr>
              <w:t>-Merger</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0.043***</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0.044***</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0.043***</w:t>
            </w:r>
          </w:p>
        </w:tc>
        <w:tc>
          <w:tcPr>
            <w:tcW w:w="678" w:type="pct"/>
            <w:tcBorders>
              <w:top w:val="single" w:sz="12" w:space="0" w:color="auto"/>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0.521***</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-0.003</w:t>
            </w:r>
          </w:p>
        </w:tc>
        <w:tc>
          <w:tcPr>
            <w:tcW w:w="678" w:type="pct"/>
            <w:tcBorders>
              <w:top w:val="single" w:sz="12" w:space="0" w:color="auto"/>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-0.004</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(3.51)</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(4.27)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(4.24)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(4.93)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(0.10)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(0.13)</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Segment</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-0.141***</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-0.137***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-0.138***</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-0.198**</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-0.219***</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-0.219***</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(6.05)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(7.27)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(7.29)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(2.49)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(3.86)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(3.84)</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B7526C">
            <w:pPr>
              <w:pStyle w:val="PlainText"/>
              <w:rPr>
                <w:rFonts w:ascii="Times New Roman" w:hAnsi="Times New Roman"/>
                <w:sz w:val="18"/>
                <w:szCs w:val="18"/>
              </w:rPr>
            </w:pPr>
            <w:r w:rsidRPr="006608E0">
              <w:rPr>
                <w:rFonts w:ascii="Times New Roman" w:hAnsi="Times New Roman"/>
                <w:sz w:val="18"/>
                <w:szCs w:val="18"/>
              </w:rPr>
              <w:t>Post</w:t>
            </w:r>
            <w:r>
              <w:rPr>
                <w:rFonts w:ascii="Times New Roman" w:hAnsi="Times New Roman"/>
                <w:sz w:val="18"/>
                <w:szCs w:val="18"/>
              </w:rPr>
              <w:t>-</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-0.076***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-0.060***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-0.070***</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-0.157**</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-0.102*</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-0.113**</w:t>
            </w:r>
          </w:p>
        </w:tc>
      </w:tr>
      <w:tr w:rsidR="00F02F62" w:rsidRPr="006608E0" w:rsidTr="00FD5BBA">
        <w:trPr>
          <w:jc w:val="center"/>
        </w:trPr>
        <w:tc>
          <w:tcPr>
            <w:tcW w:w="931" w:type="pct"/>
            <w:tcBorders>
              <w:top w:val="nil"/>
              <w:left w:val="nil"/>
              <w:bottom w:val="nil"/>
              <w:right w:val="nil"/>
            </w:tcBorders>
          </w:tcPr>
          <w:p w:rsidR="00F02F62" w:rsidRPr="006608E0" w:rsidRDefault="00B7526C" w:rsidP="00714358">
            <w:pPr>
              <w:pStyle w:val="PlainText"/>
              <w:rPr>
                <w:rFonts w:ascii="Times New Roman" w:hAnsi="Times New Roman"/>
                <w:sz w:val="18"/>
                <w:szCs w:val="18"/>
              </w:rPr>
            </w:pPr>
            <w:r>
              <w:rPr>
                <w:rFonts w:ascii="Times New Roman" w:hAnsi="Times New Roman"/>
                <w:sz w:val="18"/>
                <w:szCs w:val="18"/>
              </w:rPr>
              <w:t>Merger</w:t>
            </w:r>
            <w:r w:rsidRPr="006608E0">
              <w:rPr>
                <w:rFonts w:ascii="Times New Roman" w:hAnsi="Times New Roman"/>
                <w:sz w:val="18"/>
                <w:szCs w:val="18"/>
              </w:rPr>
              <w:t>*Segment</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(4.16)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(4.00)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(4.61)</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(2.24)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(1.84)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(2.00)</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Leverage</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0.080*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0.076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0.680***</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0.677***</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(1.73)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(1.64)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(5.16)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(5.07)</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roofErr w:type="spellStart"/>
            <w:r>
              <w:rPr>
                <w:rFonts w:ascii="Times New Roman" w:hAnsi="Times New Roman"/>
                <w:sz w:val="18"/>
                <w:szCs w:val="18"/>
              </w:rPr>
              <w:t>NI_Assets</w:t>
            </w:r>
            <w:proofErr w:type="spellEnd"/>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-0.233**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-0.243**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-1.165***</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-1.180***</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(2.20)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(2.29)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(4.30)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(4.26)</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w:t>
            </w:r>
            <w:proofErr w:type="spellStart"/>
            <w:r w:rsidRPr="006608E0">
              <w:rPr>
                <w:rFonts w:ascii="Times New Roman" w:hAnsi="Times New Roman"/>
                <w:sz w:val="18"/>
                <w:szCs w:val="18"/>
              </w:rPr>
              <w:t>FExchanges</w:t>
            </w:r>
            <w:proofErr w:type="spellEnd"/>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0.010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0.009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-0.037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-0.039</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(1.16)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(1.06)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(1.05)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(1.09)</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Sales Growth</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-0.023*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-0.025*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-0.017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-0.023</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(1.75)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(1.88)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(0.35)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(0.46)</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Size</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-0.085***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-0.085***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-0.429***</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-0.429***</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(17.68)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(17.62)</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(25.47)</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(25.38)</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Auditor</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-0.049**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-0.050**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-0.135**</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-0.136**</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(2.35)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(2.38)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(2.09)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(2.09)</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IFRS_USGAAP</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-0.059***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-0.058***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-0.385***</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-0.383***</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(6.12)</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(5.98)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(14.22)</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(13.92)</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USCROSSLISTED</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0.004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0.008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-0.250**</w:t>
            </w:r>
          </w:p>
        </w:tc>
        <w:tc>
          <w:tcPr>
            <w:tcW w:w="678" w:type="pct"/>
            <w:tcBorders>
              <w:top w:val="nil"/>
              <w:left w:val="nil"/>
              <w:bottom w:val="nil"/>
              <w:right w:val="nil"/>
            </w:tcBorders>
          </w:tcPr>
          <w:p w:rsidR="00F02F62" w:rsidRPr="006608E0"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F02F62" w:rsidRPr="006608E0">
              <w:rPr>
                <w:rFonts w:ascii="Times New Roman" w:hAnsi="Times New Roman"/>
                <w:sz w:val="18"/>
                <w:szCs w:val="18"/>
              </w:rPr>
              <w:t>-0.244*</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(0.14)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(0.25)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(1.99)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(1.93)</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roofErr w:type="spellStart"/>
            <w:r w:rsidRPr="006608E0">
              <w:rPr>
                <w:rFonts w:ascii="Times New Roman" w:hAnsi="Times New Roman"/>
                <w:sz w:val="18"/>
                <w:szCs w:val="18"/>
              </w:rPr>
              <w:t>ret_std</w:t>
            </w:r>
            <w:proofErr w:type="spellEnd"/>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-4.769**</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 xml:space="preserve"> -4.743**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-2.096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-2.077</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(2.53)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(2.52)</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(1.60)</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(1.59)</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C9694E">
            <w:pPr>
              <w:rPr>
                <w:sz w:val="18"/>
                <w:szCs w:val="18"/>
              </w:rPr>
            </w:pPr>
            <w:proofErr w:type="spellStart"/>
            <w:r w:rsidRPr="006608E0">
              <w:rPr>
                <w:rFonts w:ascii="Times New Roman" w:hAnsi="Times New Roman" w:cs="Times New Roman"/>
                <w:color w:val="000000"/>
                <w:sz w:val="18"/>
                <w:szCs w:val="18"/>
              </w:rPr>
              <w:t>afterdrop_beforeadd</w:t>
            </w:r>
            <w:proofErr w:type="spellEnd"/>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0.088***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0.099</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rPr>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(3.13)</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(1.16)</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vAlign w:val="bottom"/>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Constant</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0.224***</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0.885***</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0.886***</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-4.726***</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-1.765***</w:t>
            </w:r>
          </w:p>
        </w:tc>
        <w:tc>
          <w:tcPr>
            <w:tcW w:w="678" w:type="pct"/>
            <w:tcBorders>
              <w:top w:val="nil"/>
              <w:left w:val="nil"/>
              <w:bottom w:val="nil"/>
              <w:right w:val="nil"/>
            </w:tcBorders>
            <w:vAlign w:val="bottom"/>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 xml:space="preserve">    </w:t>
            </w:r>
            <w:r w:rsidRPr="006608E0">
              <w:rPr>
                <w:rFonts w:ascii="Times New Roman" w:hAnsi="Times New Roman"/>
                <w:sz w:val="18"/>
                <w:szCs w:val="18"/>
              </w:rPr>
              <w:t>-1.762***</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(7.86)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(15.74)</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(15.75)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(34.58)</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(14.15)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(14.05)</w:t>
            </w:r>
          </w:p>
        </w:tc>
      </w:tr>
      <w:tr w:rsidR="00F02F62" w:rsidRPr="006608E0" w:rsidTr="00FD5BBA">
        <w:trPr>
          <w:trHeight w:hRule="exact" w:val="144"/>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Pr>
                <w:rFonts w:ascii="Times New Roman" w:hAnsi="Times New Roman"/>
                <w:sz w:val="18"/>
                <w:szCs w:val="18"/>
              </w:rPr>
              <w:t>Country FE</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Yea</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Pr>
                <w:rFonts w:ascii="Times New Roman" w:hAnsi="Times New Roman"/>
                <w:sz w:val="18"/>
                <w:szCs w:val="18"/>
              </w:rPr>
              <w:t>Industry FE</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Pr>
                <w:rFonts w:ascii="Times New Roman" w:hAnsi="Times New Roman"/>
                <w:sz w:val="18"/>
                <w:szCs w:val="18"/>
              </w:rPr>
              <w:t>Yes</w:t>
            </w:r>
          </w:p>
        </w:tc>
      </w:tr>
      <w:tr w:rsidR="00F02F62" w:rsidRPr="006608E0" w:rsidTr="00FD5BBA">
        <w:trPr>
          <w:jc w:val="center"/>
        </w:trPr>
        <w:tc>
          <w:tcPr>
            <w:tcW w:w="931" w:type="pct"/>
            <w:tcBorders>
              <w:top w:val="nil"/>
              <w:left w:val="nil"/>
              <w:bottom w:val="nil"/>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Observations</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4,856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4,856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4,815</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w:t>
            </w:r>
            <w:r>
              <w:rPr>
                <w:rFonts w:ascii="Times New Roman" w:hAnsi="Times New Roman"/>
                <w:sz w:val="18"/>
                <w:szCs w:val="18"/>
              </w:rPr>
              <w:t>,</w:t>
            </w:r>
            <w:r w:rsidRPr="006608E0">
              <w:rPr>
                <w:rFonts w:ascii="Times New Roman" w:hAnsi="Times New Roman"/>
                <w:sz w:val="18"/>
                <w:szCs w:val="18"/>
              </w:rPr>
              <w:t>856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w:t>
            </w:r>
            <w:r>
              <w:rPr>
                <w:rFonts w:ascii="Times New Roman" w:hAnsi="Times New Roman"/>
                <w:sz w:val="18"/>
                <w:szCs w:val="18"/>
              </w:rPr>
              <w:t>,</w:t>
            </w:r>
            <w:r w:rsidRPr="006608E0">
              <w:rPr>
                <w:rFonts w:ascii="Times New Roman" w:hAnsi="Times New Roman"/>
                <w:sz w:val="18"/>
                <w:szCs w:val="18"/>
              </w:rPr>
              <w:t>856</w:t>
            </w:r>
          </w:p>
        </w:tc>
        <w:tc>
          <w:tcPr>
            <w:tcW w:w="678" w:type="pct"/>
            <w:tcBorders>
              <w:top w:val="nil"/>
              <w:left w:val="nil"/>
              <w:bottom w:val="nil"/>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4</w:t>
            </w:r>
            <w:r>
              <w:rPr>
                <w:rFonts w:ascii="Times New Roman" w:hAnsi="Times New Roman"/>
                <w:sz w:val="18"/>
                <w:szCs w:val="18"/>
              </w:rPr>
              <w:t>,</w:t>
            </w:r>
            <w:r w:rsidRPr="006608E0">
              <w:rPr>
                <w:rFonts w:ascii="Times New Roman" w:hAnsi="Times New Roman"/>
                <w:sz w:val="18"/>
                <w:szCs w:val="18"/>
              </w:rPr>
              <w:t>815</w:t>
            </w:r>
          </w:p>
        </w:tc>
      </w:tr>
      <w:tr w:rsidR="00F02F62" w:rsidRPr="006608E0" w:rsidTr="00FD5BBA">
        <w:trPr>
          <w:jc w:val="center"/>
        </w:trPr>
        <w:tc>
          <w:tcPr>
            <w:tcW w:w="931" w:type="pct"/>
            <w:tcBorders>
              <w:top w:val="nil"/>
              <w:left w:val="nil"/>
              <w:bottom w:val="single" w:sz="12" w:space="0" w:color="auto"/>
              <w:right w:val="nil"/>
            </w:tcBorders>
          </w:tcPr>
          <w:p w:rsidR="00F02F62" w:rsidRPr="006608E0" w:rsidRDefault="00F02F62" w:rsidP="00714358">
            <w:pPr>
              <w:pStyle w:val="PlainText"/>
              <w:rPr>
                <w:rFonts w:ascii="Times New Roman" w:hAnsi="Times New Roman"/>
                <w:sz w:val="18"/>
                <w:szCs w:val="18"/>
              </w:rPr>
            </w:pPr>
            <w:r w:rsidRPr="006608E0">
              <w:rPr>
                <w:rFonts w:ascii="Times New Roman" w:hAnsi="Times New Roman"/>
                <w:sz w:val="18"/>
                <w:szCs w:val="18"/>
              </w:rPr>
              <w:t>Adjusted R-squared</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0.13</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0.49</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0.49</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0.11</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0.64</w:t>
            </w:r>
          </w:p>
        </w:tc>
        <w:tc>
          <w:tcPr>
            <w:tcW w:w="678" w:type="pct"/>
            <w:tcBorders>
              <w:top w:val="nil"/>
              <w:left w:val="nil"/>
              <w:bottom w:val="single" w:sz="12" w:space="0" w:color="auto"/>
              <w:right w:val="nil"/>
            </w:tcBorders>
          </w:tcPr>
          <w:p w:rsidR="00F02F62" w:rsidRPr="006608E0" w:rsidRDefault="00F02F62" w:rsidP="00714358">
            <w:pPr>
              <w:pStyle w:val="PlainText"/>
              <w:jc w:val="center"/>
              <w:rPr>
                <w:rFonts w:ascii="Times New Roman" w:hAnsi="Times New Roman"/>
                <w:sz w:val="18"/>
                <w:szCs w:val="18"/>
              </w:rPr>
            </w:pPr>
            <w:r w:rsidRPr="006608E0">
              <w:rPr>
                <w:rFonts w:ascii="Times New Roman" w:hAnsi="Times New Roman"/>
                <w:sz w:val="18"/>
                <w:szCs w:val="18"/>
              </w:rPr>
              <w:t>0.64</w:t>
            </w:r>
          </w:p>
        </w:tc>
      </w:tr>
    </w:tbl>
    <w:p w:rsidR="00A44F5C" w:rsidRPr="00A40E27" w:rsidRDefault="00A44F5C" w:rsidP="00A44F5C">
      <w:pPr>
        <w:rPr>
          <w:color w:val="000000"/>
          <w:u w:val="single"/>
        </w:rPr>
      </w:pPr>
    </w:p>
    <w:p w:rsidR="00A44F5C" w:rsidRPr="00694563" w:rsidRDefault="00A44F5C" w:rsidP="00A44F5C">
      <w:r w:rsidRPr="00694563">
        <w:t>(</w:t>
      </w:r>
      <w:proofErr w:type="gramStart"/>
      <w:r w:rsidRPr="00694563">
        <w:t>continues</w:t>
      </w:r>
      <w:proofErr w:type="gramEnd"/>
      <w:r w:rsidRPr="00694563">
        <w:t xml:space="preserve"> on next page)</w:t>
      </w:r>
    </w:p>
    <w:p w:rsidR="00A44F5C" w:rsidRPr="00694563" w:rsidRDefault="00A44F5C" w:rsidP="00A44F5C"/>
    <w:p w:rsidR="00A44F5C" w:rsidRDefault="00A44F5C" w:rsidP="00A44F5C"/>
    <w:p w:rsidR="00A44F5C" w:rsidRDefault="00A44F5C" w:rsidP="00A44F5C"/>
    <w:p w:rsidR="00A44F5C" w:rsidRDefault="00A44F5C" w:rsidP="00A44F5C"/>
    <w:p w:rsidR="00A44F5C" w:rsidRDefault="00A44F5C" w:rsidP="00A44F5C"/>
    <w:p w:rsidR="00A44F5C" w:rsidRDefault="00A44F5C" w:rsidP="00A44F5C"/>
    <w:p w:rsidR="00A44F5C" w:rsidRDefault="00A44F5C" w:rsidP="00A44F5C"/>
    <w:p w:rsidR="00A44F5C" w:rsidRDefault="00A44F5C" w:rsidP="00A44F5C"/>
    <w:p w:rsidR="00A44F5C" w:rsidRDefault="00A44F5C" w:rsidP="00A44F5C"/>
    <w:p w:rsidR="00A44F5C" w:rsidRPr="006608E0" w:rsidRDefault="00A44F5C" w:rsidP="00A44F5C"/>
    <w:p w:rsidR="00A44F5C" w:rsidRDefault="00A44F5C" w:rsidP="00A44F5C">
      <w:pPr>
        <w:rPr>
          <w:b/>
        </w:rPr>
      </w:pPr>
      <w:r w:rsidRPr="00694563">
        <w:rPr>
          <w:b/>
        </w:rPr>
        <w:lastRenderedPageBreak/>
        <w:t>Table 4 (continued)</w:t>
      </w:r>
    </w:p>
    <w:p w:rsidR="00A44F5C" w:rsidRPr="00694563" w:rsidRDefault="00A44F5C" w:rsidP="00A44F5C">
      <w:pPr>
        <w:rPr>
          <w:b/>
        </w:rPr>
      </w:pPr>
    </w:p>
    <w:p w:rsidR="00A44F5C" w:rsidRPr="002F46D1" w:rsidRDefault="00A44F5C" w:rsidP="00A44F5C">
      <w:pPr>
        <w:jc w:val="both"/>
        <w:rPr>
          <w:szCs w:val="20"/>
        </w:rPr>
      </w:pPr>
      <w:r>
        <w:rPr>
          <w:szCs w:val="20"/>
        </w:rPr>
        <w:t xml:space="preserve">The table </w:t>
      </w:r>
      <w:r w:rsidRPr="002F46D1">
        <w:rPr>
          <w:szCs w:val="20"/>
        </w:rPr>
        <w:t xml:space="preserve">shows the results from OLS regressions: </w:t>
      </w:r>
    </w:p>
    <w:p w:rsidR="00A44F5C" w:rsidRDefault="00A44F5C" w:rsidP="00A44F5C">
      <w:pPr>
        <w:jc w:val="both"/>
        <w:rPr>
          <w:i/>
          <w:iCs/>
          <w:szCs w:val="20"/>
        </w:rPr>
      </w:pPr>
      <w:proofErr w:type="spellStart"/>
      <w:r w:rsidRPr="002F46D1">
        <w:rPr>
          <w:szCs w:val="20"/>
        </w:rPr>
        <w:t>perc_zeroret</w:t>
      </w:r>
      <w:proofErr w:type="spellEnd"/>
      <w:r>
        <w:rPr>
          <w:szCs w:val="20"/>
        </w:rPr>
        <w:t xml:space="preserve"> (</w:t>
      </w:r>
      <w:proofErr w:type="spellStart"/>
      <w:r w:rsidRPr="00A40E27">
        <w:rPr>
          <w:szCs w:val="20"/>
        </w:rPr>
        <w:t>log_mn_bidask</w:t>
      </w:r>
      <w:proofErr w:type="spellEnd"/>
      <w:r>
        <w:rPr>
          <w:szCs w:val="20"/>
        </w:rPr>
        <w:t>)</w:t>
      </w:r>
      <w:r w:rsidRPr="002F46D1">
        <w:rPr>
          <w:szCs w:val="20"/>
        </w:rPr>
        <w:t xml:space="preserve"> = β</w:t>
      </w:r>
      <w:r w:rsidRPr="002F46D1">
        <w:rPr>
          <w:szCs w:val="20"/>
          <w:vertAlign w:val="subscript"/>
        </w:rPr>
        <w:t>0</w:t>
      </w:r>
      <w:r w:rsidRPr="002F46D1">
        <w:rPr>
          <w:szCs w:val="20"/>
        </w:rPr>
        <w:t xml:space="preserve"> + β</w:t>
      </w:r>
      <w:r w:rsidRPr="002F46D1">
        <w:rPr>
          <w:szCs w:val="20"/>
          <w:vertAlign w:val="subscript"/>
        </w:rPr>
        <w:t>1</w:t>
      </w:r>
      <w:r w:rsidRPr="002F46D1">
        <w:rPr>
          <w:szCs w:val="20"/>
        </w:rPr>
        <w:t>*</w:t>
      </w:r>
      <w:r w:rsidRPr="009535FB">
        <w:rPr>
          <w:iCs/>
          <w:szCs w:val="20"/>
        </w:rPr>
        <w:t xml:space="preserve">Segment </w:t>
      </w:r>
      <w:r w:rsidRPr="002F46D1">
        <w:rPr>
          <w:szCs w:val="20"/>
        </w:rPr>
        <w:t>+ β</w:t>
      </w:r>
      <w:r w:rsidRPr="002F46D1">
        <w:rPr>
          <w:szCs w:val="20"/>
          <w:vertAlign w:val="subscript"/>
        </w:rPr>
        <w:t>2</w:t>
      </w:r>
      <w:r w:rsidRPr="002F46D1">
        <w:rPr>
          <w:szCs w:val="20"/>
        </w:rPr>
        <w:t>*</w:t>
      </w:r>
      <w:r w:rsidRPr="009535FB">
        <w:rPr>
          <w:iCs/>
          <w:szCs w:val="20"/>
        </w:rPr>
        <w:t>Post</w:t>
      </w:r>
      <w:r w:rsidRPr="002F46D1">
        <w:rPr>
          <w:i/>
          <w:iCs/>
          <w:szCs w:val="20"/>
        </w:rPr>
        <w:t xml:space="preserve"> </w:t>
      </w:r>
      <w:r w:rsidRPr="002F46D1">
        <w:rPr>
          <w:szCs w:val="20"/>
        </w:rPr>
        <w:t>+ β</w:t>
      </w:r>
      <w:r w:rsidRPr="002F46D1">
        <w:rPr>
          <w:szCs w:val="20"/>
          <w:vertAlign w:val="subscript"/>
        </w:rPr>
        <w:t>3</w:t>
      </w:r>
      <w:r w:rsidRPr="002F46D1">
        <w:rPr>
          <w:szCs w:val="20"/>
        </w:rPr>
        <w:t>*</w:t>
      </w:r>
      <w:r w:rsidRPr="009535FB">
        <w:rPr>
          <w:iCs/>
          <w:szCs w:val="20"/>
        </w:rPr>
        <w:t>Post-Merger</w:t>
      </w:r>
      <w:r w:rsidRPr="009535FB">
        <w:rPr>
          <w:szCs w:val="20"/>
        </w:rPr>
        <w:t>*</w:t>
      </w:r>
      <w:r w:rsidRPr="009535FB">
        <w:rPr>
          <w:iCs/>
          <w:szCs w:val="20"/>
        </w:rPr>
        <w:t>Segment</w:t>
      </w:r>
      <w:r w:rsidRPr="002F46D1">
        <w:rPr>
          <w:i/>
          <w:iCs/>
          <w:szCs w:val="20"/>
        </w:rPr>
        <w:t xml:space="preserve"> </w:t>
      </w:r>
    </w:p>
    <w:p w:rsidR="00A44F5C" w:rsidRDefault="00A44F5C" w:rsidP="00A44F5C">
      <w:pPr>
        <w:jc w:val="both"/>
        <w:rPr>
          <w:iCs/>
          <w:szCs w:val="20"/>
        </w:rPr>
      </w:pPr>
      <w:r>
        <w:rPr>
          <w:i/>
          <w:iCs/>
          <w:szCs w:val="20"/>
        </w:rPr>
        <w:tab/>
      </w:r>
      <w:r>
        <w:rPr>
          <w:iCs/>
          <w:szCs w:val="20"/>
        </w:rPr>
        <w:t>(</w:t>
      </w:r>
      <w:proofErr w:type="gramStart"/>
      <w:r>
        <w:rPr>
          <w:iCs/>
          <w:szCs w:val="20"/>
        </w:rPr>
        <w:t>for</w:t>
      </w:r>
      <w:proofErr w:type="gramEnd"/>
      <w:r>
        <w:rPr>
          <w:iCs/>
          <w:szCs w:val="20"/>
        </w:rPr>
        <w:t xml:space="preserve"> models</w:t>
      </w:r>
      <w:r w:rsidRPr="002F46D1">
        <w:rPr>
          <w:iCs/>
          <w:szCs w:val="20"/>
        </w:rPr>
        <w:t xml:space="preserve"> 1</w:t>
      </w:r>
      <w:r>
        <w:rPr>
          <w:iCs/>
          <w:szCs w:val="20"/>
        </w:rPr>
        <w:t xml:space="preserve"> and 4</w:t>
      </w:r>
      <w:r w:rsidRPr="002F46D1">
        <w:rPr>
          <w:iCs/>
          <w:szCs w:val="20"/>
        </w:rPr>
        <w:t>);</w:t>
      </w:r>
    </w:p>
    <w:p w:rsidR="00A44F5C" w:rsidRPr="00EE7AB4" w:rsidRDefault="00A44F5C" w:rsidP="00A44F5C">
      <w:pPr>
        <w:jc w:val="both"/>
        <w:rPr>
          <w:i/>
          <w:iCs/>
          <w:szCs w:val="20"/>
        </w:rPr>
      </w:pPr>
    </w:p>
    <w:p w:rsidR="00A44F5C" w:rsidRDefault="00A44F5C" w:rsidP="00A44F5C">
      <w:pPr>
        <w:jc w:val="both"/>
        <w:rPr>
          <w:i/>
          <w:iCs/>
          <w:szCs w:val="20"/>
        </w:rPr>
      </w:pPr>
      <w:proofErr w:type="spellStart"/>
      <w:r w:rsidRPr="002F46D1">
        <w:rPr>
          <w:szCs w:val="20"/>
        </w:rPr>
        <w:t>perc_zeroret</w:t>
      </w:r>
      <w:proofErr w:type="spellEnd"/>
      <w:r w:rsidRPr="002F46D1">
        <w:rPr>
          <w:szCs w:val="20"/>
        </w:rPr>
        <w:t xml:space="preserve"> (</w:t>
      </w:r>
      <w:proofErr w:type="spellStart"/>
      <w:r w:rsidRPr="00A40E27">
        <w:rPr>
          <w:szCs w:val="20"/>
        </w:rPr>
        <w:t>log_mn_bidask</w:t>
      </w:r>
      <w:proofErr w:type="spellEnd"/>
      <w:r w:rsidRPr="002F46D1">
        <w:rPr>
          <w:szCs w:val="20"/>
        </w:rPr>
        <w:t>) = β</w:t>
      </w:r>
      <w:r w:rsidRPr="002F46D1">
        <w:rPr>
          <w:szCs w:val="20"/>
          <w:vertAlign w:val="subscript"/>
        </w:rPr>
        <w:t>0</w:t>
      </w:r>
      <w:r w:rsidRPr="002F46D1">
        <w:rPr>
          <w:szCs w:val="20"/>
        </w:rPr>
        <w:t xml:space="preserve"> + β</w:t>
      </w:r>
      <w:r w:rsidRPr="002F46D1">
        <w:rPr>
          <w:szCs w:val="20"/>
          <w:vertAlign w:val="subscript"/>
        </w:rPr>
        <w:t>1</w:t>
      </w:r>
      <w:r w:rsidRPr="002F46D1">
        <w:rPr>
          <w:szCs w:val="20"/>
        </w:rPr>
        <w:t>*</w:t>
      </w:r>
      <w:r w:rsidRPr="009535FB">
        <w:rPr>
          <w:iCs/>
          <w:szCs w:val="20"/>
        </w:rPr>
        <w:t xml:space="preserve">Segment </w:t>
      </w:r>
      <w:r w:rsidRPr="002F46D1">
        <w:rPr>
          <w:szCs w:val="20"/>
        </w:rPr>
        <w:t>+ β</w:t>
      </w:r>
      <w:r w:rsidRPr="002F46D1">
        <w:rPr>
          <w:szCs w:val="20"/>
          <w:vertAlign w:val="subscript"/>
        </w:rPr>
        <w:t>2</w:t>
      </w:r>
      <w:r w:rsidRPr="002F46D1">
        <w:rPr>
          <w:szCs w:val="20"/>
        </w:rPr>
        <w:t>*</w:t>
      </w:r>
      <w:r w:rsidRPr="009535FB">
        <w:rPr>
          <w:iCs/>
          <w:szCs w:val="20"/>
        </w:rPr>
        <w:t>Post</w:t>
      </w:r>
      <w:r w:rsidRPr="002F46D1">
        <w:rPr>
          <w:i/>
          <w:iCs/>
          <w:szCs w:val="20"/>
        </w:rPr>
        <w:t xml:space="preserve"> </w:t>
      </w:r>
      <w:r w:rsidRPr="002F46D1">
        <w:rPr>
          <w:szCs w:val="20"/>
        </w:rPr>
        <w:t>+ β</w:t>
      </w:r>
      <w:r w:rsidRPr="002F46D1">
        <w:rPr>
          <w:szCs w:val="20"/>
          <w:vertAlign w:val="subscript"/>
        </w:rPr>
        <w:t>3</w:t>
      </w:r>
      <w:r w:rsidRPr="002F46D1">
        <w:rPr>
          <w:szCs w:val="20"/>
        </w:rPr>
        <w:t>*</w:t>
      </w:r>
      <w:r w:rsidRPr="009535FB">
        <w:rPr>
          <w:iCs/>
          <w:szCs w:val="20"/>
        </w:rPr>
        <w:t>Post-Merger</w:t>
      </w:r>
      <w:r w:rsidRPr="009535FB">
        <w:rPr>
          <w:szCs w:val="20"/>
        </w:rPr>
        <w:t>*</w:t>
      </w:r>
      <w:r w:rsidRPr="009535FB">
        <w:rPr>
          <w:iCs/>
          <w:szCs w:val="20"/>
        </w:rPr>
        <w:t>Segment</w:t>
      </w:r>
    </w:p>
    <w:p w:rsidR="00A44F5C" w:rsidRDefault="00A44F5C" w:rsidP="00A44F5C">
      <w:pPr>
        <w:jc w:val="both"/>
        <w:rPr>
          <w:szCs w:val="20"/>
        </w:rPr>
      </w:pPr>
      <w:r>
        <w:rPr>
          <w:i/>
          <w:iCs/>
          <w:szCs w:val="20"/>
        </w:rPr>
        <w:tab/>
      </w:r>
      <w:r w:rsidRPr="002F46D1">
        <w:rPr>
          <w:szCs w:val="20"/>
        </w:rPr>
        <w:t>+ Σβ</w:t>
      </w:r>
      <w:proofErr w:type="spellStart"/>
      <w:r w:rsidRPr="002F46D1">
        <w:rPr>
          <w:szCs w:val="20"/>
        </w:rPr>
        <w:t>i</w:t>
      </w:r>
      <w:proofErr w:type="spellEnd"/>
      <w:r>
        <w:rPr>
          <w:szCs w:val="20"/>
        </w:rPr>
        <w:t xml:space="preserve">*Control </w:t>
      </w:r>
      <w:proofErr w:type="gramStart"/>
      <w:r>
        <w:rPr>
          <w:szCs w:val="20"/>
        </w:rPr>
        <w:t>Variables  (</w:t>
      </w:r>
      <w:proofErr w:type="gramEnd"/>
      <w:r>
        <w:rPr>
          <w:szCs w:val="20"/>
        </w:rPr>
        <w:t>for model</w:t>
      </w:r>
      <w:r w:rsidRPr="002F46D1">
        <w:rPr>
          <w:szCs w:val="20"/>
        </w:rPr>
        <w:t xml:space="preserve"> 2</w:t>
      </w:r>
      <w:r>
        <w:rPr>
          <w:szCs w:val="20"/>
        </w:rPr>
        <w:t xml:space="preserve"> and 5</w:t>
      </w:r>
      <w:r w:rsidRPr="002F46D1">
        <w:rPr>
          <w:szCs w:val="20"/>
        </w:rPr>
        <w:t>)</w:t>
      </w:r>
      <w:r>
        <w:rPr>
          <w:szCs w:val="20"/>
        </w:rPr>
        <w:t>;</w:t>
      </w:r>
    </w:p>
    <w:p w:rsidR="00A44F5C" w:rsidRDefault="00A44F5C" w:rsidP="00A44F5C">
      <w:pPr>
        <w:jc w:val="both"/>
        <w:rPr>
          <w:szCs w:val="20"/>
        </w:rPr>
      </w:pPr>
    </w:p>
    <w:p w:rsidR="00C9694E" w:rsidRDefault="00A44F5C" w:rsidP="00A44F5C">
      <w:pPr>
        <w:jc w:val="both"/>
        <w:rPr>
          <w:i/>
          <w:iCs/>
          <w:szCs w:val="20"/>
        </w:rPr>
      </w:pPr>
      <w:proofErr w:type="spellStart"/>
      <w:r w:rsidRPr="002F46D1">
        <w:rPr>
          <w:szCs w:val="20"/>
        </w:rPr>
        <w:t>perc_zeroret</w:t>
      </w:r>
      <w:proofErr w:type="spellEnd"/>
      <w:r w:rsidRPr="002F46D1">
        <w:rPr>
          <w:szCs w:val="20"/>
        </w:rPr>
        <w:t xml:space="preserve"> (</w:t>
      </w:r>
      <w:proofErr w:type="spellStart"/>
      <w:r w:rsidRPr="00A40E27">
        <w:rPr>
          <w:szCs w:val="20"/>
        </w:rPr>
        <w:t>log_mn_bidask</w:t>
      </w:r>
      <w:proofErr w:type="spellEnd"/>
      <w:r w:rsidRPr="002F46D1">
        <w:rPr>
          <w:szCs w:val="20"/>
        </w:rPr>
        <w:t>) = β</w:t>
      </w:r>
      <w:r w:rsidRPr="002F46D1">
        <w:rPr>
          <w:szCs w:val="20"/>
          <w:vertAlign w:val="subscript"/>
        </w:rPr>
        <w:t>0</w:t>
      </w:r>
      <w:r w:rsidRPr="002F46D1">
        <w:rPr>
          <w:szCs w:val="20"/>
        </w:rPr>
        <w:t xml:space="preserve"> +β</w:t>
      </w:r>
      <w:r w:rsidRPr="002F46D1">
        <w:rPr>
          <w:szCs w:val="20"/>
          <w:vertAlign w:val="subscript"/>
        </w:rPr>
        <w:t>1</w:t>
      </w:r>
      <w:r w:rsidRPr="002F46D1">
        <w:rPr>
          <w:szCs w:val="20"/>
        </w:rPr>
        <w:t>*</w:t>
      </w:r>
      <w:r w:rsidRPr="009535FB">
        <w:rPr>
          <w:iCs/>
          <w:szCs w:val="20"/>
        </w:rPr>
        <w:t>Segment</w:t>
      </w:r>
      <w:r w:rsidRPr="002F46D1">
        <w:rPr>
          <w:i/>
          <w:iCs/>
          <w:szCs w:val="20"/>
        </w:rPr>
        <w:t xml:space="preserve"> </w:t>
      </w:r>
      <w:r w:rsidRPr="002F46D1">
        <w:rPr>
          <w:szCs w:val="20"/>
        </w:rPr>
        <w:t>+ β</w:t>
      </w:r>
      <w:r w:rsidRPr="002F46D1">
        <w:rPr>
          <w:szCs w:val="20"/>
          <w:vertAlign w:val="subscript"/>
        </w:rPr>
        <w:t>2</w:t>
      </w:r>
      <w:r w:rsidRPr="002F46D1">
        <w:rPr>
          <w:szCs w:val="20"/>
        </w:rPr>
        <w:t>*</w:t>
      </w:r>
      <w:r w:rsidRPr="009535FB">
        <w:rPr>
          <w:iCs/>
          <w:szCs w:val="20"/>
        </w:rPr>
        <w:t>Post</w:t>
      </w:r>
      <w:r w:rsidRPr="002F46D1">
        <w:rPr>
          <w:i/>
          <w:iCs/>
          <w:szCs w:val="20"/>
        </w:rPr>
        <w:t xml:space="preserve"> </w:t>
      </w:r>
      <w:r w:rsidRPr="002F46D1">
        <w:rPr>
          <w:szCs w:val="20"/>
        </w:rPr>
        <w:t>+ β</w:t>
      </w:r>
      <w:r w:rsidRPr="002F46D1">
        <w:rPr>
          <w:szCs w:val="20"/>
          <w:vertAlign w:val="subscript"/>
        </w:rPr>
        <w:t>3</w:t>
      </w:r>
      <w:r w:rsidRPr="002F46D1">
        <w:rPr>
          <w:szCs w:val="20"/>
        </w:rPr>
        <w:t>*</w:t>
      </w:r>
      <w:r w:rsidRPr="009535FB">
        <w:rPr>
          <w:iCs/>
          <w:szCs w:val="20"/>
        </w:rPr>
        <w:t>Post</w:t>
      </w:r>
      <w:r w:rsidRPr="009535FB">
        <w:rPr>
          <w:szCs w:val="20"/>
        </w:rPr>
        <w:t>*</w:t>
      </w:r>
      <w:r w:rsidRPr="009535FB">
        <w:rPr>
          <w:iCs/>
          <w:szCs w:val="20"/>
        </w:rPr>
        <w:t xml:space="preserve">Segment </w:t>
      </w:r>
    </w:p>
    <w:p w:rsidR="00A44F5C" w:rsidRDefault="00C9694E" w:rsidP="00A44F5C">
      <w:pPr>
        <w:jc w:val="both"/>
        <w:rPr>
          <w:szCs w:val="20"/>
        </w:rPr>
      </w:pPr>
      <w:r>
        <w:rPr>
          <w:i/>
          <w:iCs/>
          <w:szCs w:val="20"/>
        </w:rPr>
        <w:tab/>
      </w:r>
      <w:r w:rsidR="00A44F5C" w:rsidRPr="002F46D1">
        <w:rPr>
          <w:szCs w:val="20"/>
        </w:rPr>
        <w:t>+ β</w:t>
      </w:r>
      <w:r w:rsidR="00A44F5C" w:rsidRPr="002F46D1">
        <w:rPr>
          <w:szCs w:val="20"/>
          <w:vertAlign w:val="subscript"/>
        </w:rPr>
        <w:t>4</w:t>
      </w:r>
      <w:r w:rsidR="00A44F5C" w:rsidRPr="002F46D1">
        <w:rPr>
          <w:szCs w:val="20"/>
        </w:rPr>
        <w:t>*</w:t>
      </w:r>
      <w:r w:rsidR="00A44F5C" w:rsidRPr="00C076BA">
        <w:rPr>
          <w:color w:val="000000"/>
          <w:sz w:val="20"/>
          <w:szCs w:val="20"/>
        </w:rPr>
        <w:t xml:space="preserve"> </w:t>
      </w:r>
      <w:proofErr w:type="spellStart"/>
      <w:r w:rsidR="00A44F5C" w:rsidRPr="009535FB">
        <w:rPr>
          <w:color w:val="000000"/>
        </w:rPr>
        <w:t>afterdrop_beforeadd</w:t>
      </w:r>
      <w:proofErr w:type="spellEnd"/>
      <w:r>
        <w:rPr>
          <w:i/>
          <w:color w:val="000000"/>
        </w:rPr>
        <w:t xml:space="preserve"> </w:t>
      </w:r>
      <w:proofErr w:type="gramStart"/>
      <w:r>
        <w:rPr>
          <w:i/>
          <w:color w:val="000000"/>
        </w:rPr>
        <w:t xml:space="preserve">+ </w:t>
      </w:r>
      <w:r w:rsidR="00A44F5C" w:rsidRPr="002F46D1">
        <w:rPr>
          <w:szCs w:val="20"/>
        </w:rPr>
        <w:t xml:space="preserve"> Σβ</w:t>
      </w:r>
      <w:proofErr w:type="spellStart"/>
      <w:r w:rsidR="00A44F5C" w:rsidRPr="002F46D1">
        <w:rPr>
          <w:szCs w:val="20"/>
        </w:rPr>
        <w:t>i</w:t>
      </w:r>
      <w:proofErr w:type="spellEnd"/>
      <w:proofErr w:type="gramEnd"/>
      <w:r w:rsidR="00A44F5C" w:rsidRPr="002F46D1">
        <w:rPr>
          <w:szCs w:val="20"/>
        </w:rPr>
        <w:t>*Control Variables  (for model 3</w:t>
      </w:r>
      <w:r w:rsidR="00A44F5C">
        <w:rPr>
          <w:szCs w:val="20"/>
        </w:rPr>
        <w:t xml:space="preserve"> and 6</w:t>
      </w:r>
      <w:r w:rsidR="00A44F5C" w:rsidRPr="002F46D1">
        <w:rPr>
          <w:szCs w:val="20"/>
        </w:rPr>
        <w:t>)</w:t>
      </w:r>
      <w:r w:rsidR="00A44F5C">
        <w:rPr>
          <w:szCs w:val="20"/>
        </w:rPr>
        <w:t>; and</w:t>
      </w:r>
    </w:p>
    <w:p w:rsidR="00A44F5C" w:rsidRPr="002F46D1" w:rsidRDefault="00A44F5C" w:rsidP="00A44F5C">
      <w:pPr>
        <w:jc w:val="both"/>
        <w:rPr>
          <w:szCs w:val="20"/>
        </w:rPr>
      </w:pPr>
    </w:p>
    <w:p w:rsidR="00A44F5C" w:rsidRDefault="00A44F5C" w:rsidP="00A44F5C">
      <w:pPr>
        <w:jc w:val="both"/>
        <w:rPr>
          <w:szCs w:val="20"/>
        </w:rPr>
      </w:pPr>
      <w:r>
        <w:rPr>
          <w:szCs w:val="20"/>
        </w:rPr>
        <w:t xml:space="preserve">All variables are as defined in table 2 of the paper. </w:t>
      </w:r>
      <w:r w:rsidR="0099507A">
        <w:rPr>
          <w:szCs w:val="20"/>
        </w:rPr>
        <w:t>The regressions include both country and industry fixed effects, and standard errors are clustered by firm.</w:t>
      </w:r>
    </w:p>
    <w:p w:rsidR="00C9694E" w:rsidRDefault="00C9694E" w:rsidP="00A44F5C">
      <w:pPr>
        <w:jc w:val="both"/>
        <w:rPr>
          <w:szCs w:val="20"/>
        </w:rPr>
      </w:pPr>
    </w:p>
    <w:p w:rsidR="00A44F5C" w:rsidRPr="002F46D1" w:rsidRDefault="00A44F5C" w:rsidP="00A44F5C">
      <w:pPr>
        <w:jc w:val="both"/>
        <w:rPr>
          <w:szCs w:val="20"/>
        </w:rPr>
      </w:pPr>
      <w:r w:rsidRPr="002F46D1">
        <w:rPr>
          <w:szCs w:val="20"/>
        </w:rPr>
        <w:t xml:space="preserve">*** indicates statistical </w:t>
      </w:r>
      <w:r w:rsidR="006E74DC" w:rsidRPr="002F46D1">
        <w:rPr>
          <w:szCs w:val="20"/>
        </w:rPr>
        <w:t>significan</w:t>
      </w:r>
      <w:r w:rsidR="006E74DC">
        <w:rPr>
          <w:szCs w:val="20"/>
        </w:rPr>
        <w:t>ce</w:t>
      </w:r>
      <w:r w:rsidR="006E74DC" w:rsidRPr="002F46D1">
        <w:rPr>
          <w:szCs w:val="20"/>
        </w:rPr>
        <w:t xml:space="preserve"> </w:t>
      </w:r>
      <w:r w:rsidRPr="002F46D1">
        <w:rPr>
          <w:szCs w:val="20"/>
        </w:rPr>
        <w:t xml:space="preserve">at the 0.01 level, ** indicates statistical significance at the 0.05 level, and * indicates statistical </w:t>
      </w:r>
      <w:r w:rsidR="006E74DC" w:rsidRPr="002F46D1">
        <w:rPr>
          <w:szCs w:val="20"/>
        </w:rPr>
        <w:t>significan</w:t>
      </w:r>
      <w:r w:rsidR="006E74DC">
        <w:rPr>
          <w:szCs w:val="20"/>
        </w:rPr>
        <w:t>ce</w:t>
      </w:r>
      <w:r w:rsidR="006E74DC" w:rsidRPr="002F46D1">
        <w:rPr>
          <w:szCs w:val="20"/>
        </w:rPr>
        <w:t xml:space="preserve"> </w:t>
      </w:r>
      <w:r w:rsidRPr="002F46D1">
        <w:rPr>
          <w:szCs w:val="20"/>
        </w:rPr>
        <w:t>at the 0.10 level (two-tailed test).</w:t>
      </w:r>
    </w:p>
    <w:p w:rsidR="00A44F5C" w:rsidRPr="00A40E27"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A44F5C" w:rsidRDefault="00A44F5C" w:rsidP="00A44F5C">
      <w:pPr>
        <w:jc w:val="center"/>
        <w:rPr>
          <w:b/>
        </w:rPr>
      </w:pPr>
    </w:p>
    <w:p w:rsidR="00C9694E" w:rsidRDefault="00C9694E" w:rsidP="00A44F5C">
      <w:pPr>
        <w:jc w:val="center"/>
        <w:rPr>
          <w:b/>
        </w:rPr>
        <w:sectPr w:rsidR="00C9694E" w:rsidSect="00FD5BBA">
          <w:pgSz w:w="12240" w:h="15840"/>
          <w:pgMar w:top="1440" w:right="1440" w:bottom="1440" w:left="1440" w:header="720" w:footer="720" w:gutter="0"/>
          <w:cols w:space="720"/>
          <w:docGrid w:linePitch="360"/>
        </w:sectPr>
      </w:pPr>
    </w:p>
    <w:p w:rsidR="00A44F5C" w:rsidRPr="00A40E27" w:rsidRDefault="00A44F5C" w:rsidP="00A44F5C">
      <w:pPr>
        <w:jc w:val="center"/>
        <w:rPr>
          <w:b/>
        </w:rPr>
      </w:pPr>
      <w:r w:rsidRPr="00A40E27">
        <w:rPr>
          <w:b/>
        </w:rPr>
        <w:lastRenderedPageBreak/>
        <w:t xml:space="preserve">Table 5: Liquidity </w:t>
      </w:r>
      <w:r w:rsidR="00C81DDE">
        <w:rPr>
          <w:b/>
        </w:rPr>
        <w:t>c</w:t>
      </w:r>
      <w:r w:rsidRPr="00A40E27">
        <w:rPr>
          <w:b/>
        </w:rPr>
        <w:t xml:space="preserve">hanges and </w:t>
      </w:r>
      <w:r w:rsidR="00C81DDE">
        <w:rPr>
          <w:b/>
        </w:rPr>
        <w:t>c</w:t>
      </w:r>
      <w:r w:rsidRPr="00A40E27">
        <w:rPr>
          <w:b/>
        </w:rPr>
        <w:t xml:space="preserve">ompliance with </w:t>
      </w:r>
      <w:r w:rsidR="00C81DDE">
        <w:rPr>
          <w:b/>
        </w:rPr>
        <w:t>s</w:t>
      </w:r>
      <w:r w:rsidRPr="00A40E27">
        <w:rPr>
          <w:b/>
        </w:rPr>
        <w:t>egment requirements</w:t>
      </w:r>
    </w:p>
    <w:tbl>
      <w:tblPr>
        <w:tblStyle w:val="TableGrid"/>
        <w:tblW w:w="5000" w:type="pct"/>
        <w:tblLook w:val="04A0" w:firstRow="1" w:lastRow="0" w:firstColumn="1" w:lastColumn="0" w:noHBand="0" w:noVBand="1"/>
      </w:tblPr>
      <w:tblGrid>
        <w:gridCol w:w="2452"/>
        <w:gridCol w:w="1188"/>
        <w:gridCol w:w="1188"/>
        <w:gridCol w:w="1187"/>
        <w:gridCol w:w="1187"/>
        <w:gridCol w:w="1187"/>
        <w:gridCol w:w="1187"/>
      </w:tblGrid>
      <w:tr w:rsidR="0051341B" w:rsidRPr="00BE730C" w:rsidTr="00FD5BBA">
        <w:tc>
          <w:tcPr>
            <w:tcW w:w="1280" w:type="pct"/>
            <w:tcBorders>
              <w:top w:val="single" w:sz="12" w:space="0" w:color="auto"/>
              <w:left w:val="nil"/>
              <w:bottom w:val="nil"/>
            </w:tcBorders>
          </w:tcPr>
          <w:p w:rsidR="005C5E7A" w:rsidRPr="00BE730C" w:rsidRDefault="005C5E7A" w:rsidP="00714358">
            <w:pPr>
              <w:pStyle w:val="PlainText"/>
              <w:rPr>
                <w:rFonts w:ascii="Times New Roman" w:hAnsi="Times New Roman"/>
                <w:sz w:val="18"/>
                <w:szCs w:val="18"/>
              </w:rPr>
            </w:pPr>
          </w:p>
        </w:tc>
        <w:tc>
          <w:tcPr>
            <w:tcW w:w="620" w:type="pct"/>
            <w:tcBorders>
              <w:top w:val="single" w:sz="12" w:space="0" w:color="auto"/>
              <w:bottom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1</w:t>
            </w:r>
            <w:r w:rsidRPr="00BE730C">
              <w:rPr>
                <w:rFonts w:ascii="Times New Roman" w:hAnsi="Times New Roman"/>
                <w:sz w:val="18"/>
                <w:szCs w:val="18"/>
              </w:rPr>
              <w:t>)</w:t>
            </w:r>
          </w:p>
        </w:tc>
        <w:tc>
          <w:tcPr>
            <w:tcW w:w="620" w:type="pct"/>
            <w:tcBorders>
              <w:top w:val="single" w:sz="12" w:space="0" w:color="auto"/>
              <w:bottom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2</w:t>
            </w:r>
            <w:r w:rsidRPr="00BE730C">
              <w:rPr>
                <w:rFonts w:ascii="Times New Roman" w:hAnsi="Times New Roman"/>
                <w:sz w:val="18"/>
                <w:szCs w:val="18"/>
              </w:rPr>
              <w:t>)</w:t>
            </w:r>
          </w:p>
        </w:tc>
        <w:tc>
          <w:tcPr>
            <w:tcW w:w="620" w:type="pct"/>
            <w:tcBorders>
              <w:top w:val="single" w:sz="12" w:space="0" w:color="auto"/>
              <w:bottom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3</w:t>
            </w:r>
            <w:r w:rsidRPr="00BE730C">
              <w:rPr>
                <w:rFonts w:ascii="Times New Roman" w:hAnsi="Times New Roman"/>
                <w:sz w:val="18"/>
                <w:szCs w:val="18"/>
              </w:rPr>
              <w:t>)</w:t>
            </w:r>
          </w:p>
        </w:tc>
        <w:tc>
          <w:tcPr>
            <w:tcW w:w="620" w:type="pct"/>
            <w:tcBorders>
              <w:top w:val="single" w:sz="12" w:space="0" w:color="auto"/>
              <w:bottom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4</w:t>
            </w:r>
            <w:r w:rsidRPr="00BE730C">
              <w:rPr>
                <w:rFonts w:ascii="Times New Roman" w:hAnsi="Times New Roman"/>
                <w:sz w:val="18"/>
                <w:szCs w:val="18"/>
              </w:rPr>
              <w:t>)</w:t>
            </w:r>
          </w:p>
        </w:tc>
        <w:tc>
          <w:tcPr>
            <w:tcW w:w="620" w:type="pct"/>
            <w:tcBorders>
              <w:top w:val="single" w:sz="12" w:space="0" w:color="auto"/>
              <w:bottom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5</w:t>
            </w:r>
            <w:r w:rsidRPr="00BE730C">
              <w:rPr>
                <w:rFonts w:ascii="Times New Roman" w:hAnsi="Times New Roman"/>
                <w:sz w:val="18"/>
                <w:szCs w:val="18"/>
              </w:rPr>
              <w:t>)</w:t>
            </w:r>
          </w:p>
        </w:tc>
        <w:tc>
          <w:tcPr>
            <w:tcW w:w="620" w:type="pct"/>
            <w:tcBorders>
              <w:top w:val="single" w:sz="12" w:space="0" w:color="auto"/>
              <w:bottom w:val="nil"/>
              <w:right w:val="nil"/>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w:t>
            </w:r>
            <w:r>
              <w:rPr>
                <w:rFonts w:ascii="Times New Roman" w:hAnsi="Times New Roman"/>
                <w:sz w:val="18"/>
                <w:szCs w:val="18"/>
              </w:rPr>
              <w:t>6</w:t>
            </w:r>
            <w:r w:rsidRPr="00BE730C">
              <w:rPr>
                <w:rFonts w:ascii="Times New Roman" w:hAnsi="Times New Roman"/>
                <w:sz w:val="18"/>
                <w:szCs w:val="18"/>
              </w:rPr>
              <w:t>)</w:t>
            </w:r>
          </w:p>
        </w:tc>
      </w:tr>
      <w:tr w:rsidR="0051341B" w:rsidRPr="00BE730C" w:rsidTr="00FD5BBA">
        <w:tc>
          <w:tcPr>
            <w:tcW w:w="1280" w:type="pct"/>
            <w:tcBorders>
              <w:top w:val="nil"/>
              <w:left w:val="nil"/>
              <w:bottom w:val="single" w:sz="12" w:space="0" w:color="auto"/>
            </w:tcBorders>
          </w:tcPr>
          <w:p w:rsidR="005C5E7A" w:rsidRPr="00BE730C" w:rsidRDefault="005C5E7A" w:rsidP="00714358">
            <w:pPr>
              <w:pStyle w:val="PlainText"/>
              <w:rPr>
                <w:rFonts w:ascii="Times New Roman" w:hAnsi="Times New Roman"/>
                <w:sz w:val="18"/>
                <w:szCs w:val="18"/>
              </w:rPr>
            </w:pPr>
          </w:p>
        </w:tc>
        <w:tc>
          <w:tcPr>
            <w:tcW w:w="620" w:type="pct"/>
            <w:tcBorders>
              <w:top w:val="nil"/>
              <w:bottom w:val="single" w:sz="12" w:space="0" w:color="auto"/>
            </w:tcBorders>
          </w:tcPr>
          <w:p w:rsidR="00933AEF" w:rsidRDefault="00933AEF" w:rsidP="005C5E7A">
            <w:pPr>
              <w:pStyle w:val="PlainText"/>
              <w:jc w:val="center"/>
              <w:rPr>
                <w:rFonts w:ascii="Times New Roman" w:hAnsi="Times New Roman"/>
                <w:sz w:val="18"/>
                <w:szCs w:val="18"/>
              </w:rPr>
            </w:pPr>
            <w:proofErr w:type="spellStart"/>
            <w:r w:rsidRPr="00BE730C">
              <w:rPr>
                <w:rFonts w:ascii="Times New Roman" w:hAnsi="Times New Roman"/>
                <w:sz w:val="18"/>
                <w:szCs w:val="18"/>
              </w:rPr>
              <w:t>P</w:t>
            </w:r>
            <w:r w:rsidR="005C5E7A" w:rsidRPr="00BE730C">
              <w:rPr>
                <w:rFonts w:ascii="Times New Roman" w:hAnsi="Times New Roman"/>
                <w:sz w:val="18"/>
                <w:szCs w:val="18"/>
              </w:rPr>
              <w:t>erc</w:t>
            </w:r>
            <w:proofErr w:type="spellEnd"/>
          </w:p>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_</w:t>
            </w:r>
            <w:proofErr w:type="spellStart"/>
            <w:r w:rsidRPr="00BE730C">
              <w:rPr>
                <w:rFonts w:ascii="Times New Roman" w:hAnsi="Times New Roman"/>
                <w:sz w:val="18"/>
                <w:szCs w:val="18"/>
              </w:rPr>
              <w:t>zeroret</w:t>
            </w:r>
            <w:proofErr w:type="spellEnd"/>
          </w:p>
        </w:tc>
        <w:tc>
          <w:tcPr>
            <w:tcW w:w="620" w:type="pct"/>
            <w:tcBorders>
              <w:top w:val="nil"/>
              <w:bottom w:val="single" w:sz="12" w:space="0" w:color="auto"/>
            </w:tcBorders>
          </w:tcPr>
          <w:p w:rsidR="00933AEF" w:rsidRDefault="00933AEF" w:rsidP="005C5E7A">
            <w:pPr>
              <w:pStyle w:val="PlainText"/>
              <w:jc w:val="center"/>
              <w:rPr>
                <w:rFonts w:ascii="Times New Roman" w:hAnsi="Times New Roman"/>
                <w:sz w:val="18"/>
                <w:szCs w:val="18"/>
              </w:rPr>
            </w:pPr>
            <w:proofErr w:type="spellStart"/>
            <w:r w:rsidRPr="00BE730C">
              <w:rPr>
                <w:rFonts w:ascii="Times New Roman" w:hAnsi="Times New Roman"/>
                <w:sz w:val="18"/>
                <w:szCs w:val="18"/>
              </w:rPr>
              <w:t>P</w:t>
            </w:r>
            <w:r w:rsidR="005C5E7A" w:rsidRPr="00BE730C">
              <w:rPr>
                <w:rFonts w:ascii="Times New Roman" w:hAnsi="Times New Roman"/>
                <w:sz w:val="18"/>
                <w:szCs w:val="18"/>
              </w:rPr>
              <w:t>erc</w:t>
            </w:r>
            <w:proofErr w:type="spellEnd"/>
          </w:p>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_</w:t>
            </w:r>
            <w:proofErr w:type="spellStart"/>
            <w:r w:rsidRPr="00BE730C">
              <w:rPr>
                <w:rFonts w:ascii="Times New Roman" w:hAnsi="Times New Roman"/>
                <w:sz w:val="18"/>
                <w:szCs w:val="18"/>
              </w:rPr>
              <w:t>zeroret</w:t>
            </w:r>
            <w:proofErr w:type="spellEnd"/>
          </w:p>
        </w:tc>
        <w:tc>
          <w:tcPr>
            <w:tcW w:w="620" w:type="pct"/>
            <w:tcBorders>
              <w:top w:val="nil"/>
              <w:bottom w:val="single" w:sz="12" w:space="0" w:color="auto"/>
            </w:tcBorders>
          </w:tcPr>
          <w:p w:rsidR="00933AEF" w:rsidRDefault="00933AEF" w:rsidP="005C5E7A">
            <w:pPr>
              <w:pStyle w:val="PlainText"/>
              <w:jc w:val="center"/>
              <w:rPr>
                <w:rFonts w:ascii="Times New Roman" w:hAnsi="Times New Roman"/>
                <w:sz w:val="18"/>
                <w:szCs w:val="18"/>
              </w:rPr>
            </w:pPr>
            <w:proofErr w:type="spellStart"/>
            <w:r w:rsidRPr="00BE730C">
              <w:rPr>
                <w:rFonts w:ascii="Times New Roman" w:hAnsi="Times New Roman"/>
                <w:sz w:val="18"/>
                <w:szCs w:val="18"/>
              </w:rPr>
              <w:t>P</w:t>
            </w:r>
            <w:r w:rsidR="005C5E7A" w:rsidRPr="00BE730C">
              <w:rPr>
                <w:rFonts w:ascii="Times New Roman" w:hAnsi="Times New Roman"/>
                <w:sz w:val="18"/>
                <w:szCs w:val="18"/>
              </w:rPr>
              <w:t>erc</w:t>
            </w:r>
            <w:proofErr w:type="spellEnd"/>
          </w:p>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_</w:t>
            </w:r>
            <w:proofErr w:type="spellStart"/>
            <w:r w:rsidRPr="00BE730C">
              <w:rPr>
                <w:rFonts w:ascii="Times New Roman" w:hAnsi="Times New Roman"/>
                <w:sz w:val="18"/>
                <w:szCs w:val="18"/>
              </w:rPr>
              <w:t>zeroret</w:t>
            </w:r>
            <w:proofErr w:type="spellEnd"/>
          </w:p>
        </w:tc>
        <w:tc>
          <w:tcPr>
            <w:tcW w:w="620" w:type="pct"/>
            <w:tcBorders>
              <w:top w:val="nil"/>
              <w:bottom w:val="single" w:sz="12" w:space="0" w:color="auto"/>
            </w:tcBorders>
          </w:tcPr>
          <w:p w:rsidR="00933AEF" w:rsidRDefault="00B44991" w:rsidP="00714358">
            <w:pPr>
              <w:pStyle w:val="PlainText"/>
              <w:jc w:val="center"/>
              <w:rPr>
                <w:rFonts w:ascii="Times New Roman" w:hAnsi="Times New Roman"/>
                <w:sz w:val="18"/>
                <w:szCs w:val="18"/>
              </w:rPr>
            </w:pPr>
            <w:proofErr w:type="spellStart"/>
            <w:r>
              <w:rPr>
                <w:rFonts w:ascii="Times New Roman" w:hAnsi="Times New Roman"/>
                <w:sz w:val="18"/>
                <w:szCs w:val="18"/>
              </w:rPr>
              <w:t>log_mn</w:t>
            </w:r>
            <w:proofErr w:type="spellEnd"/>
          </w:p>
          <w:p w:rsidR="005C5E7A" w:rsidRPr="00BE730C" w:rsidRDefault="00B44991" w:rsidP="00714358">
            <w:pPr>
              <w:pStyle w:val="PlainText"/>
              <w:jc w:val="center"/>
              <w:rPr>
                <w:rFonts w:ascii="Times New Roman" w:hAnsi="Times New Roman"/>
                <w:sz w:val="18"/>
                <w:szCs w:val="18"/>
              </w:rPr>
            </w:pPr>
            <w:r>
              <w:rPr>
                <w:rFonts w:ascii="Times New Roman" w:hAnsi="Times New Roman"/>
                <w:sz w:val="18"/>
                <w:szCs w:val="18"/>
              </w:rPr>
              <w:t>_</w:t>
            </w:r>
            <w:proofErr w:type="spellStart"/>
            <w:r>
              <w:rPr>
                <w:rFonts w:ascii="Times New Roman" w:hAnsi="Times New Roman"/>
                <w:sz w:val="18"/>
                <w:szCs w:val="18"/>
              </w:rPr>
              <w:t>bidas</w:t>
            </w:r>
            <w:r w:rsidR="005C5E7A" w:rsidRPr="00BE730C">
              <w:rPr>
                <w:rFonts w:ascii="Times New Roman" w:hAnsi="Times New Roman"/>
                <w:sz w:val="18"/>
                <w:szCs w:val="18"/>
              </w:rPr>
              <w:t>k</w:t>
            </w:r>
            <w:proofErr w:type="spellEnd"/>
          </w:p>
        </w:tc>
        <w:tc>
          <w:tcPr>
            <w:tcW w:w="620" w:type="pct"/>
            <w:tcBorders>
              <w:top w:val="nil"/>
              <w:bottom w:val="single" w:sz="12" w:space="0" w:color="auto"/>
            </w:tcBorders>
          </w:tcPr>
          <w:p w:rsidR="00933AEF" w:rsidRDefault="005C5E7A" w:rsidP="00714358">
            <w:pPr>
              <w:pStyle w:val="PlainText"/>
              <w:jc w:val="center"/>
              <w:rPr>
                <w:rFonts w:ascii="Times New Roman" w:hAnsi="Times New Roman"/>
                <w:sz w:val="18"/>
                <w:szCs w:val="18"/>
              </w:rPr>
            </w:pPr>
            <w:proofErr w:type="spellStart"/>
            <w:r w:rsidRPr="00BE730C">
              <w:rPr>
                <w:rFonts w:ascii="Times New Roman" w:hAnsi="Times New Roman"/>
                <w:sz w:val="18"/>
                <w:szCs w:val="18"/>
              </w:rPr>
              <w:t>log_mn</w:t>
            </w:r>
            <w:proofErr w:type="spellEnd"/>
          </w:p>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_</w:t>
            </w:r>
            <w:proofErr w:type="spellStart"/>
            <w:r w:rsidRPr="00BE730C">
              <w:rPr>
                <w:rFonts w:ascii="Times New Roman" w:hAnsi="Times New Roman"/>
                <w:sz w:val="18"/>
                <w:szCs w:val="18"/>
              </w:rPr>
              <w:t>bidask</w:t>
            </w:r>
            <w:proofErr w:type="spellEnd"/>
          </w:p>
        </w:tc>
        <w:tc>
          <w:tcPr>
            <w:tcW w:w="620" w:type="pct"/>
            <w:tcBorders>
              <w:top w:val="nil"/>
              <w:bottom w:val="single" w:sz="12" w:space="0" w:color="auto"/>
              <w:right w:val="nil"/>
            </w:tcBorders>
          </w:tcPr>
          <w:p w:rsidR="00933AEF" w:rsidRDefault="005C5E7A" w:rsidP="00714358">
            <w:pPr>
              <w:pStyle w:val="PlainText"/>
              <w:jc w:val="center"/>
              <w:rPr>
                <w:rFonts w:ascii="Times New Roman" w:hAnsi="Times New Roman"/>
                <w:sz w:val="18"/>
                <w:szCs w:val="18"/>
              </w:rPr>
            </w:pPr>
            <w:proofErr w:type="spellStart"/>
            <w:r w:rsidRPr="00BE730C">
              <w:rPr>
                <w:rFonts w:ascii="Times New Roman" w:hAnsi="Times New Roman"/>
                <w:sz w:val="18"/>
                <w:szCs w:val="18"/>
              </w:rPr>
              <w:t>log_mn</w:t>
            </w:r>
            <w:proofErr w:type="spellEnd"/>
          </w:p>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_</w:t>
            </w:r>
            <w:proofErr w:type="spellStart"/>
            <w:r w:rsidRPr="00BE730C">
              <w:rPr>
                <w:rFonts w:ascii="Times New Roman" w:hAnsi="Times New Roman"/>
                <w:sz w:val="18"/>
                <w:szCs w:val="18"/>
              </w:rPr>
              <w:t>bidask</w:t>
            </w:r>
            <w:proofErr w:type="spellEnd"/>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Post-Merger</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-0.047*</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-0.033</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-0.020</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-0.114</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-0.027</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0.100</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(1.84)</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(1.26)</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(0.79)</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(1.35)</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(0.32)</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(1.22)</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Compl5</w:t>
            </w:r>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-0.015**</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-0.019</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(2.55)</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(0.94)</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Post-Merger*Compl5</w:t>
            </w:r>
          </w:p>
        </w:tc>
        <w:tc>
          <w:tcPr>
            <w:tcW w:w="620" w:type="pct"/>
          </w:tcPr>
          <w:p w:rsidR="005C5E7A" w:rsidRPr="00BE730C" w:rsidRDefault="00F13779" w:rsidP="00F13779">
            <w:pPr>
              <w:pStyle w:val="PlainText"/>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-0.002</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F13779"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-0.055**</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(0.28)</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(2.27)</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Compl4</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0.000</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0.080***</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(0.06)</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(3.43)</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Post-Merger*Compl4</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-0.010</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-0.094***</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(1.35)</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(3.45)</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roofErr w:type="spellStart"/>
            <w:r w:rsidRPr="00BE730C">
              <w:rPr>
                <w:rFonts w:ascii="Times New Roman" w:hAnsi="Times New Roman"/>
                <w:sz w:val="18"/>
                <w:szCs w:val="18"/>
              </w:rPr>
              <w:t>Qtrly</w:t>
            </w:r>
            <w:proofErr w:type="spellEnd"/>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-0.068***</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-0.060***</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-0.358***</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-0.342***</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(4.75)</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(4.02)</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(7.00)</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(6.40)</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Post-Merger*</w:t>
            </w:r>
            <w:proofErr w:type="spellStart"/>
            <w:r w:rsidRPr="00BE730C">
              <w:rPr>
                <w:rFonts w:ascii="Times New Roman" w:hAnsi="Times New Roman"/>
                <w:sz w:val="18"/>
                <w:szCs w:val="18"/>
              </w:rPr>
              <w:t>Qtrly</w:t>
            </w:r>
            <w:proofErr w:type="spellEnd"/>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0.029*</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0.030*</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0.081</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0.112*</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(1.86)</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(1.81)</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(1.29)</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(1.74)</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IFRS_USGAAP</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0.038</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-0.023</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(1.64)</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(0.15)</w:t>
            </w:r>
          </w:p>
        </w:tc>
      </w:tr>
      <w:tr w:rsidR="0051341B" w:rsidRPr="009535FB" w:rsidTr="00FD5BBA">
        <w:tc>
          <w:tcPr>
            <w:tcW w:w="1280" w:type="pct"/>
            <w:tcBorders>
              <w:left w:val="nil"/>
            </w:tcBorders>
          </w:tcPr>
          <w:p w:rsidR="005C5E7A" w:rsidRPr="009535FB" w:rsidRDefault="005C5E7A" w:rsidP="00714358">
            <w:pPr>
              <w:pStyle w:val="PlainText"/>
              <w:rPr>
                <w:rFonts w:ascii="Times New Roman" w:hAnsi="Times New Roman"/>
                <w:sz w:val="18"/>
                <w:szCs w:val="18"/>
              </w:rPr>
            </w:pPr>
            <w:r w:rsidRPr="009535FB">
              <w:rPr>
                <w:rFonts w:ascii="Times New Roman" w:hAnsi="Times New Roman"/>
                <w:sz w:val="18"/>
                <w:szCs w:val="18"/>
              </w:rPr>
              <w:t>Post-Merger*IFRS_USGAAP</w:t>
            </w: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9535FB">
              <w:rPr>
                <w:rFonts w:ascii="Times New Roman" w:hAnsi="Times New Roman"/>
                <w:sz w:val="18"/>
                <w:szCs w:val="18"/>
              </w:rPr>
              <w:t>-0.098***</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9535FB">
              <w:rPr>
                <w:rFonts w:ascii="Times New Roman" w:hAnsi="Times New Roman"/>
                <w:sz w:val="18"/>
                <w:szCs w:val="18"/>
              </w:rPr>
              <w:t>-0.392**</w:t>
            </w:r>
          </w:p>
        </w:tc>
      </w:tr>
      <w:tr w:rsidR="0051341B" w:rsidRPr="009535FB" w:rsidTr="00FD5BBA">
        <w:tc>
          <w:tcPr>
            <w:tcW w:w="1280" w:type="pct"/>
            <w:tcBorders>
              <w:left w:val="nil"/>
            </w:tcBorders>
          </w:tcPr>
          <w:p w:rsidR="005C5E7A" w:rsidRPr="00BE730C" w:rsidRDefault="005C5E7A" w:rsidP="00714358">
            <w:pPr>
              <w:pStyle w:val="PlainText"/>
              <w:rPr>
                <w:rFonts w:ascii="Times New Roman" w:hAnsi="Times New Roman"/>
                <w:color w:val="FF0000"/>
                <w:sz w:val="18"/>
                <w:szCs w:val="18"/>
              </w:rPr>
            </w:pPr>
          </w:p>
        </w:tc>
        <w:tc>
          <w:tcPr>
            <w:tcW w:w="620" w:type="pct"/>
          </w:tcPr>
          <w:p w:rsidR="005C5E7A" w:rsidRPr="00BE730C" w:rsidRDefault="005C5E7A" w:rsidP="005C5E7A">
            <w:pPr>
              <w:pStyle w:val="PlainText"/>
              <w:jc w:val="center"/>
              <w:rPr>
                <w:rFonts w:ascii="Times New Roman" w:hAnsi="Times New Roman"/>
                <w:color w:val="FF0000"/>
                <w:sz w:val="18"/>
                <w:szCs w:val="18"/>
              </w:rPr>
            </w:pPr>
          </w:p>
        </w:tc>
        <w:tc>
          <w:tcPr>
            <w:tcW w:w="620" w:type="pct"/>
          </w:tcPr>
          <w:p w:rsidR="005C5E7A" w:rsidRPr="00BE730C" w:rsidRDefault="005C5E7A" w:rsidP="005C5E7A">
            <w:pPr>
              <w:pStyle w:val="PlainText"/>
              <w:jc w:val="center"/>
              <w:rPr>
                <w:rFonts w:ascii="Times New Roman" w:hAnsi="Times New Roman"/>
                <w:color w:val="FF0000"/>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r w:rsidRPr="009535FB">
              <w:rPr>
                <w:rFonts w:ascii="Times New Roman" w:hAnsi="Times New Roman"/>
                <w:sz w:val="18"/>
                <w:szCs w:val="18"/>
              </w:rPr>
              <w:t>(3.84)</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5C5E7A" w:rsidP="00714358">
            <w:pPr>
              <w:pStyle w:val="PlainText"/>
              <w:jc w:val="center"/>
              <w:rPr>
                <w:rFonts w:ascii="Times New Roman" w:hAnsi="Times New Roman"/>
                <w:sz w:val="18"/>
                <w:szCs w:val="18"/>
              </w:rPr>
            </w:pPr>
            <w:r w:rsidRPr="009535FB">
              <w:rPr>
                <w:rFonts w:ascii="Times New Roman" w:hAnsi="Times New Roman"/>
                <w:sz w:val="18"/>
                <w:szCs w:val="18"/>
              </w:rPr>
              <w:t>(2.47)</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Auditor</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-0.017</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-0.039</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(0.93)</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(0.74)</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Post-Merger*Auditor</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0.030</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0.089</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(1.51)</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(1.45)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English</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0.002</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0.094</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(0.09)</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(1.40)</w:t>
            </w:r>
          </w:p>
        </w:tc>
      </w:tr>
      <w:tr w:rsidR="0051341B" w:rsidRPr="009535FB" w:rsidTr="00FD5BBA">
        <w:tc>
          <w:tcPr>
            <w:tcW w:w="1280" w:type="pct"/>
            <w:tcBorders>
              <w:left w:val="nil"/>
            </w:tcBorders>
          </w:tcPr>
          <w:p w:rsidR="005C5E7A" w:rsidRPr="009535FB" w:rsidRDefault="005C5E7A" w:rsidP="00714358">
            <w:pPr>
              <w:pStyle w:val="PlainText"/>
              <w:rPr>
                <w:rFonts w:ascii="Times New Roman" w:hAnsi="Times New Roman"/>
                <w:sz w:val="18"/>
                <w:szCs w:val="18"/>
              </w:rPr>
            </w:pPr>
            <w:r w:rsidRPr="009535FB">
              <w:rPr>
                <w:rFonts w:ascii="Times New Roman" w:hAnsi="Times New Roman"/>
                <w:sz w:val="18"/>
                <w:szCs w:val="18"/>
              </w:rPr>
              <w:t>Post-Merger*English</w:t>
            </w: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r w:rsidRPr="009535FB">
              <w:rPr>
                <w:rFonts w:ascii="Times New Roman" w:hAnsi="Times New Roman"/>
                <w:sz w:val="18"/>
                <w:szCs w:val="18"/>
              </w:rPr>
              <w:t>-0.033</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9535FB">
              <w:rPr>
                <w:rFonts w:ascii="Times New Roman" w:hAnsi="Times New Roman"/>
                <w:sz w:val="18"/>
                <w:szCs w:val="18"/>
              </w:rPr>
              <w:t>-0.175**</w:t>
            </w:r>
          </w:p>
        </w:tc>
      </w:tr>
      <w:tr w:rsidR="0051341B" w:rsidRPr="009535FB" w:rsidTr="00FD5BBA">
        <w:tc>
          <w:tcPr>
            <w:tcW w:w="1280" w:type="pct"/>
            <w:tcBorders>
              <w:left w:val="nil"/>
            </w:tcBorders>
          </w:tcPr>
          <w:p w:rsidR="005C5E7A" w:rsidRPr="009535FB" w:rsidRDefault="005C5E7A" w:rsidP="00714358">
            <w:pPr>
              <w:pStyle w:val="PlainText"/>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r w:rsidRPr="009535FB">
              <w:rPr>
                <w:rFonts w:ascii="Times New Roman" w:hAnsi="Times New Roman"/>
                <w:sz w:val="18"/>
                <w:szCs w:val="18"/>
              </w:rPr>
              <w:t>(1.43)</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5C5E7A" w:rsidP="00714358">
            <w:pPr>
              <w:pStyle w:val="PlainText"/>
              <w:jc w:val="center"/>
              <w:rPr>
                <w:rFonts w:ascii="Times New Roman" w:hAnsi="Times New Roman"/>
                <w:sz w:val="18"/>
                <w:szCs w:val="18"/>
              </w:rPr>
            </w:pPr>
            <w:r w:rsidRPr="009535FB">
              <w:rPr>
                <w:rFonts w:ascii="Times New Roman" w:hAnsi="Times New Roman"/>
                <w:sz w:val="18"/>
                <w:szCs w:val="18"/>
              </w:rPr>
              <w:t>(2.23)</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Website</w:t>
            </w: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-0.010</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0.172***</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(0.63)</w:t>
            </w: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Pr>
          <w:p w:rsidR="005C5E7A" w:rsidRPr="00BE730C" w:rsidRDefault="005C5E7A" w:rsidP="00714358">
            <w:pPr>
              <w:pStyle w:val="PlainText"/>
              <w:jc w:val="center"/>
              <w:rPr>
                <w:rFonts w:ascii="Times New Roman" w:hAnsi="Times New Roman"/>
                <w:sz w:val="18"/>
                <w:szCs w:val="18"/>
              </w:rPr>
            </w:pP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(3.25)</w:t>
            </w:r>
          </w:p>
        </w:tc>
      </w:tr>
      <w:tr w:rsidR="0051341B" w:rsidRPr="009535FB" w:rsidTr="00FD5BBA">
        <w:tc>
          <w:tcPr>
            <w:tcW w:w="1280" w:type="pct"/>
            <w:tcBorders>
              <w:left w:val="nil"/>
            </w:tcBorders>
          </w:tcPr>
          <w:p w:rsidR="005C5E7A" w:rsidRPr="009535FB" w:rsidRDefault="005C5E7A" w:rsidP="00714358">
            <w:pPr>
              <w:pStyle w:val="PlainText"/>
              <w:rPr>
                <w:rFonts w:ascii="Times New Roman" w:hAnsi="Times New Roman"/>
                <w:sz w:val="18"/>
                <w:szCs w:val="18"/>
              </w:rPr>
            </w:pPr>
            <w:r w:rsidRPr="009535FB">
              <w:rPr>
                <w:rFonts w:ascii="Times New Roman" w:hAnsi="Times New Roman"/>
                <w:sz w:val="18"/>
                <w:szCs w:val="18"/>
              </w:rPr>
              <w:t>Post-Merger*Website</w:t>
            </w: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r w:rsidRPr="009535FB">
              <w:rPr>
                <w:rFonts w:ascii="Times New Roman" w:hAnsi="Times New Roman"/>
                <w:sz w:val="18"/>
                <w:szCs w:val="18"/>
              </w:rPr>
              <w:t>-0.014</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9535FB">
              <w:rPr>
                <w:rFonts w:ascii="Times New Roman" w:hAnsi="Times New Roman"/>
                <w:sz w:val="18"/>
                <w:szCs w:val="18"/>
              </w:rPr>
              <w:t>-0.239***</w:t>
            </w:r>
          </w:p>
        </w:tc>
      </w:tr>
      <w:tr w:rsidR="0051341B" w:rsidRPr="009535FB" w:rsidTr="00FD5BBA">
        <w:tc>
          <w:tcPr>
            <w:tcW w:w="1280" w:type="pct"/>
            <w:tcBorders>
              <w:left w:val="nil"/>
            </w:tcBorders>
          </w:tcPr>
          <w:p w:rsidR="005C5E7A" w:rsidRPr="009535FB" w:rsidRDefault="005C5E7A" w:rsidP="00714358">
            <w:pPr>
              <w:pStyle w:val="PlainText"/>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p>
        </w:tc>
        <w:tc>
          <w:tcPr>
            <w:tcW w:w="620" w:type="pct"/>
          </w:tcPr>
          <w:p w:rsidR="005C5E7A" w:rsidRPr="009535FB" w:rsidRDefault="005C5E7A" w:rsidP="005C5E7A">
            <w:pPr>
              <w:pStyle w:val="PlainText"/>
              <w:jc w:val="center"/>
              <w:rPr>
                <w:rFonts w:ascii="Times New Roman" w:hAnsi="Times New Roman"/>
                <w:sz w:val="18"/>
                <w:szCs w:val="18"/>
              </w:rPr>
            </w:pPr>
            <w:r w:rsidRPr="009535FB">
              <w:rPr>
                <w:rFonts w:ascii="Times New Roman" w:hAnsi="Times New Roman"/>
                <w:sz w:val="18"/>
                <w:szCs w:val="18"/>
              </w:rPr>
              <w:t>(0.77)</w:t>
            </w: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Pr>
          <w:p w:rsidR="005C5E7A" w:rsidRPr="009535FB" w:rsidRDefault="005C5E7A" w:rsidP="00714358">
            <w:pPr>
              <w:pStyle w:val="PlainText"/>
              <w:jc w:val="center"/>
              <w:rPr>
                <w:rFonts w:ascii="Times New Roman" w:hAnsi="Times New Roman"/>
                <w:sz w:val="18"/>
                <w:szCs w:val="18"/>
              </w:rPr>
            </w:pPr>
          </w:p>
        </w:tc>
        <w:tc>
          <w:tcPr>
            <w:tcW w:w="620" w:type="pct"/>
            <w:tcBorders>
              <w:right w:val="nil"/>
            </w:tcBorders>
          </w:tcPr>
          <w:p w:rsidR="005C5E7A" w:rsidRPr="009535FB" w:rsidRDefault="005C5E7A" w:rsidP="00714358">
            <w:pPr>
              <w:pStyle w:val="PlainText"/>
              <w:jc w:val="center"/>
              <w:rPr>
                <w:rFonts w:ascii="Times New Roman" w:hAnsi="Times New Roman"/>
                <w:sz w:val="18"/>
                <w:szCs w:val="18"/>
              </w:rPr>
            </w:pPr>
            <w:r w:rsidRPr="009535FB">
              <w:rPr>
                <w:rFonts w:ascii="Times New Roman" w:hAnsi="Times New Roman"/>
                <w:sz w:val="18"/>
                <w:szCs w:val="18"/>
              </w:rPr>
              <w:t>(3.83)</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Leverage</w:t>
            </w:r>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0.074***</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0.079***</w:t>
            </w:r>
          </w:p>
        </w:tc>
        <w:tc>
          <w:tcPr>
            <w:tcW w:w="620" w:type="pct"/>
          </w:tcPr>
          <w:p w:rsidR="005C5E7A" w:rsidRPr="00BE730C" w:rsidRDefault="00F02F62" w:rsidP="00933AEF">
            <w:pPr>
              <w:pStyle w:val="PlainText"/>
              <w:jc w:val="center"/>
              <w:rPr>
                <w:rFonts w:ascii="Times New Roman" w:hAnsi="Times New Roman"/>
                <w:sz w:val="18"/>
                <w:szCs w:val="18"/>
              </w:rPr>
            </w:pPr>
            <w:r>
              <w:rPr>
                <w:rFonts w:ascii="Times New Roman" w:hAnsi="Times New Roman"/>
                <w:sz w:val="18"/>
                <w:szCs w:val="18"/>
              </w:rPr>
              <w:t xml:space="preserve"> </w:t>
            </w:r>
            <w:r w:rsidR="00486EE2">
              <w:rPr>
                <w:rFonts w:ascii="Times New Roman" w:hAnsi="Times New Roman"/>
                <w:sz w:val="18"/>
                <w:szCs w:val="18"/>
              </w:rPr>
              <w:t xml:space="preserve">   </w:t>
            </w:r>
            <w:r>
              <w:rPr>
                <w:rFonts w:ascii="Times New Roman" w:hAnsi="Times New Roman"/>
                <w:sz w:val="18"/>
                <w:szCs w:val="18"/>
              </w:rPr>
              <w:t xml:space="preserve">  </w:t>
            </w:r>
            <w:r w:rsidR="005C5E7A" w:rsidRPr="00BE730C">
              <w:rPr>
                <w:rFonts w:ascii="Times New Roman" w:hAnsi="Times New Roman"/>
                <w:sz w:val="18"/>
                <w:szCs w:val="18"/>
              </w:rPr>
              <w:t>0.065***</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0.390***</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0.431***</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0.366***</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(3.15)</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(3.36)</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(2.81)</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(4.00)</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(4.43)</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(3.95)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roofErr w:type="spellStart"/>
            <w:r w:rsidRPr="00BE730C">
              <w:rPr>
                <w:rFonts w:ascii="Times New Roman" w:hAnsi="Times New Roman"/>
                <w:sz w:val="18"/>
                <w:szCs w:val="18"/>
              </w:rPr>
              <w:t>NI_Assets</w:t>
            </w:r>
            <w:proofErr w:type="spellEnd"/>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-0.260***</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-0.253***</w:t>
            </w:r>
          </w:p>
        </w:tc>
        <w:tc>
          <w:tcPr>
            <w:tcW w:w="620" w:type="pct"/>
          </w:tcPr>
          <w:p w:rsidR="005C5E7A" w:rsidRPr="00BE730C" w:rsidRDefault="00933AEF" w:rsidP="005C5E7A">
            <w:pPr>
              <w:pStyle w:val="PlainText"/>
              <w:jc w:val="center"/>
              <w:rPr>
                <w:rFonts w:ascii="Times New Roman" w:hAnsi="Times New Roman"/>
                <w:sz w:val="18"/>
                <w:szCs w:val="18"/>
              </w:rPr>
            </w:pPr>
            <w:r>
              <w:rPr>
                <w:rFonts w:ascii="Times New Roman" w:hAnsi="Times New Roman"/>
                <w:sz w:val="18"/>
                <w:szCs w:val="18"/>
              </w:rPr>
              <w:t xml:space="preserve"> </w:t>
            </w:r>
            <w:r w:rsidR="00486EE2">
              <w:rPr>
                <w:rFonts w:ascii="Times New Roman" w:hAnsi="Times New Roman"/>
                <w:sz w:val="18"/>
                <w:szCs w:val="18"/>
              </w:rPr>
              <w:t xml:space="preserve">  </w:t>
            </w:r>
            <w:r w:rsidR="00F02F62">
              <w:rPr>
                <w:rFonts w:ascii="Times New Roman" w:hAnsi="Times New Roman"/>
                <w:sz w:val="18"/>
                <w:szCs w:val="18"/>
              </w:rPr>
              <w:t xml:space="preserve"> </w:t>
            </w:r>
            <w:r w:rsidR="005C5E7A" w:rsidRPr="00BE730C">
              <w:rPr>
                <w:rFonts w:ascii="Times New Roman" w:hAnsi="Times New Roman"/>
                <w:sz w:val="18"/>
                <w:szCs w:val="18"/>
              </w:rPr>
              <w:t>-0.236***</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-0.991***</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-0.955***</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-0.815***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(4.78)</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(4.68)</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(4.60)</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(4.17)</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(4.01)</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(3.88)</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w:t>
            </w:r>
            <w:proofErr w:type="spellStart"/>
            <w:r w:rsidRPr="00BE730C">
              <w:rPr>
                <w:rFonts w:ascii="Times New Roman" w:hAnsi="Times New Roman"/>
                <w:sz w:val="18"/>
                <w:szCs w:val="18"/>
              </w:rPr>
              <w:t>FExchanges</w:t>
            </w:r>
            <w:proofErr w:type="spellEnd"/>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0.005</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0.006</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0.005</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0.012</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0.019</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0.019</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(0.84)</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(1.00)</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(0.92)</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(0.41)</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(0.63)</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(0.67)</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Sales Growth</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-0.000</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0.005</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0.001</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-0.105*</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-0.069</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-0.094</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(0.03)</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(0.46)</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(0.11)</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(1.82)</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(1.19)</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(1.62)</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Size</w:t>
            </w:r>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-0.047***</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-0.052***</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-0.049***</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-0.315***</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-0.353***</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-0.340***</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(14.20)</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(14.77)</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(13.48)</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(19.96)</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(21.13)</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(21.07)</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USCROSSLISTED</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-0.058*</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-0.059*</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-0.035</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-0.498*</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-0.494*</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-0.275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(1.80)</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(1.77)</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(1.18)</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(1.73)</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(1.72)</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(0.96)</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roofErr w:type="spellStart"/>
            <w:r w:rsidRPr="00BE730C">
              <w:rPr>
                <w:rFonts w:ascii="Times New Roman" w:hAnsi="Times New Roman"/>
                <w:sz w:val="18"/>
                <w:szCs w:val="18"/>
              </w:rPr>
              <w:t>ret_std</w:t>
            </w:r>
            <w:proofErr w:type="spellEnd"/>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-4.822***</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-4.503***</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-5.010***</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7.240***</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9.421***</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6.365***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(7.92)</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(7.49)</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(7.66)</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(3.76)</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(4.85)</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(3.31)</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Constant</w:t>
            </w:r>
          </w:p>
        </w:tc>
        <w:tc>
          <w:tcPr>
            <w:tcW w:w="620" w:type="pct"/>
          </w:tcPr>
          <w:p w:rsidR="005C5E7A" w:rsidRPr="00BE730C" w:rsidRDefault="00F13779"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0.592***</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0.589***</w:t>
            </w:r>
          </w:p>
        </w:tc>
        <w:tc>
          <w:tcPr>
            <w:tcW w:w="620" w:type="pct"/>
          </w:tcPr>
          <w:p w:rsidR="005C5E7A" w:rsidRPr="00BE730C" w:rsidRDefault="00486EE2" w:rsidP="005C5E7A">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0.603***</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-2.626***</w:t>
            </w:r>
          </w:p>
        </w:tc>
        <w:tc>
          <w:tcPr>
            <w:tcW w:w="620" w:type="pct"/>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-2.629***</w:t>
            </w:r>
          </w:p>
        </w:tc>
        <w:tc>
          <w:tcPr>
            <w:tcW w:w="620" w:type="pct"/>
            <w:tcBorders>
              <w:right w:val="nil"/>
            </w:tcBorders>
          </w:tcPr>
          <w:p w:rsidR="005C5E7A" w:rsidRPr="00BE730C" w:rsidRDefault="00486EE2" w:rsidP="00714358">
            <w:pPr>
              <w:pStyle w:val="PlainText"/>
              <w:jc w:val="center"/>
              <w:rPr>
                <w:rFonts w:ascii="Times New Roman" w:hAnsi="Times New Roman"/>
                <w:sz w:val="18"/>
                <w:szCs w:val="18"/>
              </w:rPr>
            </w:pPr>
            <w:r>
              <w:rPr>
                <w:rFonts w:ascii="Times New Roman" w:hAnsi="Times New Roman"/>
                <w:sz w:val="18"/>
                <w:szCs w:val="18"/>
              </w:rPr>
              <w:t xml:space="preserve">   </w:t>
            </w:r>
            <w:r w:rsidR="005C5E7A" w:rsidRPr="00BE730C">
              <w:rPr>
                <w:rFonts w:ascii="Times New Roman" w:hAnsi="Times New Roman"/>
                <w:sz w:val="18"/>
                <w:szCs w:val="18"/>
              </w:rPr>
              <w:t>-2.515***</w:t>
            </w:r>
          </w:p>
        </w:tc>
      </w:tr>
      <w:tr w:rsidR="0051341B" w:rsidRPr="00BE730C" w:rsidTr="00FD5BBA">
        <w:tc>
          <w:tcPr>
            <w:tcW w:w="1280" w:type="pct"/>
            <w:tcBorders>
              <w:left w:val="nil"/>
            </w:tcBorders>
          </w:tcPr>
          <w:p w:rsidR="005C5E7A" w:rsidRPr="00BE730C" w:rsidRDefault="005C5E7A" w:rsidP="00714358">
            <w:pPr>
              <w:pStyle w:val="PlainText"/>
              <w:rPr>
                <w:rFonts w:ascii="Times New Roman" w:hAnsi="Times New Roman"/>
                <w:sz w:val="18"/>
                <w:szCs w:val="18"/>
              </w:rPr>
            </w:pP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(15.15)</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(15.08)</w:t>
            </w:r>
          </w:p>
        </w:tc>
        <w:tc>
          <w:tcPr>
            <w:tcW w:w="620" w:type="pct"/>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(15.34)</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(19.45)</w:t>
            </w:r>
          </w:p>
        </w:tc>
        <w:tc>
          <w:tcPr>
            <w:tcW w:w="620" w:type="pct"/>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(19.38)</w:t>
            </w:r>
          </w:p>
        </w:tc>
        <w:tc>
          <w:tcPr>
            <w:tcW w:w="620" w:type="pct"/>
            <w:tcBorders>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(18.89)</w:t>
            </w:r>
          </w:p>
        </w:tc>
      </w:tr>
      <w:tr w:rsidR="0051341B" w:rsidRPr="00BE730C" w:rsidTr="00FD5BBA">
        <w:tc>
          <w:tcPr>
            <w:tcW w:w="1280" w:type="pct"/>
            <w:tcBorders>
              <w:left w:val="nil"/>
              <w:bottom w:val="single" w:sz="4" w:space="0" w:color="000000" w:themeColor="text1"/>
            </w:tcBorders>
          </w:tcPr>
          <w:p w:rsidR="005C5E7A" w:rsidRPr="00BE730C" w:rsidRDefault="005C5E7A" w:rsidP="00714358">
            <w:pPr>
              <w:pStyle w:val="PlainText"/>
              <w:rPr>
                <w:rFonts w:ascii="Times New Roman" w:hAnsi="Times New Roman"/>
                <w:sz w:val="18"/>
                <w:szCs w:val="18"/>
              </w:rPr>
            </w:pP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p>
        </w:tc>
        <w:tc>
          <w:tcPr>
            <w:tcW w:w="620" w:type="pct"/>
            <w:tcBorders>
              <w:bottom w:val="single" w:sz="4" w:space="0" w:color="000000" w:themeColor="text1"/>
            </w:tcBorders>
          </w:tcPr>
          <w:p w:rsidR="005C5E7A" w:rsidRPr="00BE730C" w:rsidRDefault="005C5E7A" w:rsidP="00714358">
            <w:pPr>
              <w:pStyle w:val="PlainText"/>
              <w:jc w:val="center"/>
              <w:rPr>
                <w:rFonts w:ascii="Times New Roman" w:hAnsi="Times New Roman"/>
                <w:sz w:val="18"/>
                <w:szCs w:val="18"/>
              </w:rPr>
            </w:pPr>
          </w:p>
        </w:tc>
        <w:tc>
          <w:tcPr>
            <w:tcW w:w="620" w:type="pct"/>
            <w:tcBorders>
              <w:bottom w:val="single" w:sz="4" w:space="0" w:color="000000" w:themeColor="text1"/>
            </w:tcBorders>
          </w:tcPr>
          <w:p w:rsidR="005C5E7A" w:rsidRPr="00BE730C" w:rsidRDefault="005C5E7A" w:rsidP="00714358">
            <w:pPr>
              <w:pStyle w:val="PlainText"/>
              <w:jc w:val="center"/>
              <w:rPr>
                <w:rFonts w:ascii="Times New Roman" w:hAnsi="Times New Roman"/>
                <w:sz w:val="18"/>
                <w:szCs w:val="18"/>
              </w:rPr>
            </w:pPr>
          </w:p>
        </w:tc>
        <w:tc>
          <w:tcPr>
            <w:tcW w:w="620" w:type="pct"/>
            <w:tcBorders>
              <w:bottom w:val="single" w:sz="4" w:space="0" w:color="000000" w:themeColor="text1"/>
              <w:right w:val="nil"/>
            </w:tcBorders>
          </w:tcPr>
          <w:p w:rsidR="005C5E7A" w:rsidRPr="00BE730C" w:rsidRDefault="005C5E7A" w:rsidP="00714358">
            <w:pPr>
              <w:pStyle w:val="PlainText"/>
              <w:jc w:val="center"/>
              <w:rPr>
                <w:rFonts w:ascii="Times New Roman" w:hAnsi="Times New Roman"/>
                <w:sz w:val="18"/>
                <w:szCs w:val="18"/>
              </w:rPr>
            </w:pPr>
          </w:p>
        </w:tc>
      </w:tr>
      <w:tr w:rsidR="0051341B" w:rsidRPr="00BE730C" w:rsidTr="00FD5BBA">
        <w:tc>
          <w:tcPr>
            <w:tcW w:w="1280" w:type="pct"/>
            <w:tcBorders>
              <w:left w:val="nil"/>
              <w:bottom w:val="single" w:sz="4" w:space="0" w:color="000000" w:themeColor="text1"/>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Observations</w:t>
            </w: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1,317</w:t>
            </w: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1,317</w:t>
            </w:r>
          </w:p>
        </w:tc>
        <w:tc>
          <w:tcPr>
            <w:tcW w:w="620" w:type="pct"/>
            <w:tcBorders>
              <w:bottom w:val="single" w:sz="4" w:space="0" w:color="000000" w:themeColor="text1"/>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1,317</w:t>
            </w:r>
          </w:p>
        </w:tc>
        <w:tc>
          <w:tcPr>
            <w:tcW w:w="620" w:type="pct"/>
            <w:tcBorders>
              <w:bottom w:val="single" w:sz="4" w:space="0" w:color="000000" w:themeColor="text1"/>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1,317</w:t>
            </w:r>
          </w:p>
        </w:tc>
        <w:tc>
          <w:tcPr>
            <w:tcW w:w="620" w:type="pct"/>
            <w:tcBorders>
              <w:bottom w:val="single" w:sz="4" w:space="0" w:color="000000" w:themeColor="text1"/>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1,317</w:t>
            </w:r>
          </w:p>
        </w:tc>
        <w:tc>
          <w:tcPr>
            <w:tcW w:w="620" w:type="pct"/>
            <w:tcBorders>
              <w:bottom w:val="single" w:sz="4" w:space="0" w:color="000000" w:themeColor="text1"/>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1,317</w:t>
            </w:r>
          </w:p>
        </w:tc>
      </w:tr>
      <w:tr w:rsidR="0051341B" w:rsidRPr="00BE730C" w:rsidTr="00FD5BBA">
        <w:tc>
          <w:tcPr>
            <w:tcW w:w="1280" w:type="pct"/>
            <w:tcBorders>
              <w:left w:val="nil"/>
              <w:bottom w:val="single" w:sz="12" w:space="0" w:color="auto"/>
            </w:tcBorders>
          </w:tcPr>
          <w:p w:rsidR="005C5E7A" w:rsidRPr="00BE730C" w:rsidRDefault="005C5E7A" w:rsidP="00714358">
            <w:pPr>
              <w:pStyle w:val="PlainText"/>
              <w:rPr>
                <w:rFonts w:ascii="Times New Roman" w:hAnsi="Times New Roman"/>
                <w:sz w:val="18"/>
                <w:szCs w:val="18"/>
              </w:rPr>
            </w:pPr>
            <w:r w:rsidRPr="00BE730C">
              <w:rPr>
                <w:rFonts w:ascii="Times New Roman" w:hAnsi="Times New Roman"/>
                <w:sz w:val="18"/>
                <w:szCs w:val="18"/>
              </w:rPr>
              <w:t>Adjusted R-squared</w:t>
            </w:r>
          </w:p>
        </w:tc>
        <w:tc>
          <w:tcPr>
            <w:tcW w:w="620" w:type="pct"/>
            <w:tcBorders>
              <w:bottom w:val="single" w:sz="12" w:space="0" w:color="auto"/>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0.26</w:t>
            </w:r>
          </w:p>
        </w:tc>
        <w:tc>
          <w:tcPr>
            <w:tcW w:w="620" w:type="pct"/>
            <w:tcBorders>
              <w:bottom w:val="single" w:sz="12" w:space="0" w:color="auto"/>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0.27</w:t>
            </w:r>
          </w:p>
        </w:tc>
        <w:tc>
          <w:tcPr>
            <w:tcW w:w="620" w:type="pct"/>
            <w:tcBorders>
              <w:bottom w:val="single" w:sz="12" w:space="0" w:color="auto"/>
            </w:tcBorders>
          </w:tcPr>
          <w:p w:rsidR="005C5E7A" w:rsidRPr="00BE730C" w:rsidRDefault="005C5E7A" w:rsidP="005C5E7A">
            <w:pPr>
              <w:pStyle w:val="PlainText"/>
              <w:jc w:val="center"/>
              <w:rPr>
                <w:rFonts w:ascii="Times New Roman" w:hAnsi="Times New Roman"/>
                <w:sz w:val="18"/>
                <w:szCs w:val="18"/>
              </w:rPr>
            </w:pPr>
            <w:r w:rsidRPr="00BE730C">
              <w:rPr>
                <w:rFonts w:ascii="Times New Roman" w:hAnsi="Times New Roman"/>
                <w:sz w:val="18"/>
                <w:szCs w:val="18"/>
              </w:rPr>
              <w:t>0.29</w:t>
            </w:r>
          </w:p>
        </w:tc>
        <w:tc>
          <w:tcPr>
            <w:tcW w:w="620" w:type="pct"/>
            <w:tcBorders>
              <w:bottom w:val="single" w:sz="12" w:space="0" w:color="auto"/>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0.52</w:t>
            </w:r>
          </w:p>
        </w:tc>
        <w:tc>
          <w:tcPr>
            <w:tcW w:w="620" w:type="pct"/>
            <w:tcBorders>
              <w:bottom w:val="single" w:sz="12" w:space="0" w:color="auto"/>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0.55</w:t>
            </w:r>
          </w:p>
        </w:tc>
        <w:tc>
          <w:tcPr>
            <w:tcW w:w="620" w:type="pct"/>
            <w:tcBorders>
              <w:bottom w:val="single" w:sz="12" w:space="0" w:color="auto"/>
              <w:right w:val="nil"/>
            </w:tcBorders>
          </w:tcPr>
          <w:p w:rsidR="005C5E7A" w:rsidRPr="00BE730C" w:rsidRDefault="005C5E7A" w:rsidP="00714358">
            <w:pPr>
              <w:pStyle w:val="PlainText"/>
              <w:jc w:val="center"/>
              <w:rPr>
                <w:rFonts w:ascii="Times New Roman" w:hAnsi="Times New Roman"/>
                <w:sz w:val="18"/>
                <w:szCs w:val="18"/>
              </w:rPr>
            </w:pPr>
            <w:r w:rsidRPr="00BE730C">
              <w:rPr>
                <w:rFonts w:ascii="Times New Roman" w:hAnsi="Times New Roman"/>
                <w:sz w:val="18"/>
                <w:szCs w:val="18"/>
              </w:rPr>
              <w:t>0.59</w:t>
            </w:r>
          </w:p>
        </w:tc>
      </w:tr>
    </w:tbl>
    <w:p w:rsidR="00A44F5C" w:rsidRPr="00FA25F8" w:rsidRDefault="00A44F5C" w:rsidP="00A44F5C">
      <w:pPr>
        <w:rPr>
          <w:szCs w:val="18"/>
        </w:rPr>
      </w:pPr>
      <w:r w:rsidRPr="00FA25F8">
        <w:rPr>
          <w:szCs w:val="18"/>
        </w:rPr>
        <w:t>(</w:t>
      </w:r>
      <w:proofErr w:type="gramStart"/>
      <w:r w:rsidRPr="00FA25F8">
        <w:rPr>
          <w:szCs w:val="18"/>
        </w:rPr>
        <w:t>continues</w:t>
      </w:r>
      <w:proofErr w:type="gramEnd"/>
      <w:r w:rsidRPr="00FA25F8">
        <w:rPr>
          <w:szCs w:val="18"/>
        </w:rPr>
        <w:t xml:space="preserve"> on next page)</w:t>
      </w:r>
    </w:p>
    <w:p w:rsidR="00C9694E" w:rsidRDefault="00C9694E" w:rsidP="00A44F5C">
      <w:pPr>
        <w:rPr>
          <w:b/>
        </w:rPr>
        <w:sectPr w:rsidR="00C9694E" w:rsidSect="00933AEF">
          <w:pgSz w:w="12240" w:h="15840"/>
          <w:pgMar w:top="1440" w:right="1440" w:bottom="1440" w:left="1440" w:header="720" w:footer="720" w:gutter="0"/>
          <w:cols w:space="720"/>
          <w:docGrid w:linePitch="360"/>
        </w:sectPr>
      </w:pPr>
    </w:p>
    <w:p w:rsidR="00A44F5C" w:rsidRPr="00A40E27" w:rsidRDefault="00A44F5C" w:rsidP="00A44F5C">
      <w:pPr>
        <w:rPr>
          <w:b/>
        </w:rPr>
      </w:pPr>
      <w:r w:rsidRPr="00A40E27">
        <w:rPr>
          <w:b/>
        </w:rPr>
        <w:lastRenderedPageBreak/>
        <w:t>Table 5</w:t>
      </w:r>
      <w:r>
        <w:rPr>
          <w:b/>
        </w:rPr>
        <w:t xml:space="preserve"> (continued)</w:t>
      </w:r>
    </w:p>
    <w:p w:rsidR="00A44F5C" w:rsidRDefault="00A44F5C" w:rsidP="00A44F5C">
      <w:pPr>
        <w:jc w:val="both"/>
        <w:rPr>
          <w:szCs w:val="20"/>
        </w:rPr>
      </w:pPr>
      <w:r>
        <w:rPr>
          <w:szCs w:val="20"/>
        </w:rPr>
        <w:t xml:space="preserve">The table </w:t>
      </w:r>
      <w:r w:rsidRPr="002F46D1">
        <w:rPr>
          <w:szCs w:val="20"/>
        </w:rPr>
        <w:t>shows the results from OLS regressions</w:t>
      </w:r>
      <w:r>
        <w:rPr>
          <w:szCs w:val="20"/>
        </w:rPr>
        <w:t>, run on the segment firms only</w:t>
      </w:r>
      <w:r w:rsidRPr="002F46D1">
        <w:rPr>
          <w:szCs w:val="20"/>
        </w:rPr>
        <w:t xml:space="preserve">: </w:t>
      </w:r>
    </w:p>
    <w:p w:rsidR="00C9694E" w:rsidRPr="002F46D1" w:rsidRDefault="00C9694E" w:rsidP="00A44F5C">
      <w:pPr>
        <w:jc w:val="both"/>
        <w:rPr>
          <w:szCs w:val="20"/>
        </w:rPr>
      </w:pPr>
    </w:p>
    <w:p w:rsidR="00A44F5C" w:rsidRDefault="00A44F5C" w:rsidP="00A44F5C">
      <w:pPr>
        <w:rPr>
          <w:iCs/>
          <w:szCs w:val="20"/>
        </w:rPr>
      </w:pPr>
      <w:proofErr w:type="spellStart"/>
      <w:r w:rsidRPr="002F46D1">
        <w:rPr>
          <w:szCs w:val="20"/>
        </w:rPr>
        <w:t>perc_zeroret</w:t>
      </w:r>
      <w:proofErr w:type="spellEnd"/>
      <w:r>
        <w:rPr>
          <w:szCs w:val="20"/>
        </w:rPr>
        <w:t xml:space="preserve"> (</w:t>
      </w:r>
      <w:proofErr w:type="spellStart"/>
      <w:r w:rsidRPr="00A40E27">
        <w:rPr>
          <w:szCs w:val="20"/>
        </w:rPr>
        <w:t>log_mn_bidask</w:t>
      </w:r>
      <w:proofErr w:type="spellEnd"/>
      <w:r>
        <w:rPr>
          <w:szCs w:val="20"/>
        </w:rPr>
        <w:t>)</w:t>
      </w:r>
      <w:r w:rsidRPr="002F46D1">
        <w:rPr>
          <w:szCs w:val="20"/>
        </w:rPr>
        <w:t xml:space="preserve"> = β</w:t>
      </w:r>
      <w:r w:rsidRPr="002F46D1">
        <w:rPr>
          <w:szCs w:val="20"/>
          <w:vertAlign w:val="subscript"/>
        </w:rPr>
        <w:t>0</w:t>
      </w:r>
      <w:r w:rsidRPr="002F46D1">
        <w:rPr>
          <w:szCs w:val="20"/>
        </w:rPr>
        <w:t xml:space="preserve"> + β</w:t>
      </w:r>
      <w:r w:rsidRPr="002F46D1">
        <w:rPr>
          <w:szCs w:val="20"/>
          <w:vertAlign w:val="subscript"/>
        </w:rPr>
        <w:t>1</w:t>
      </w:r>
      <w:r>
        <w:rPr>
          <w:szCs w:val="20"/>
        </w:rPr>
        <w:t>*</w:t>
      </w:r>
      <w:r w:rsidRPr="009535FB">
        <w:rPr>
          <w:szCs w:val="20"/>
        </w:rPr>
        <w:t>Post-Merger</w:t>
      </w:r>
      <w:r>
        <w:rPr>
          <w:i/>
          <w:szCs w:val="20"/>
        </w:rPr>
        <w:t xml:space="preserve"> </w:t>
      </w:r>
      <w:r w:rsidRPr="002F46D1">
        <w:rPr>
          <w:szCs w:val="20"/>
        </w:rPr>
        <w:t>+ β</w:t>
      </w:r>
      <w:r w:rsidRPr="002F46D1">
        <w:rPr>
          <w:szCs w:val="20"/>
          <w:vertAlign w:val="subscript"/>
        </w:rPr>
        <w:t>2</w:t>
      </w:r>
      <w:r w:rsidRPr="002F46D1">
        <w:rPr>
          <w:szCs w:val="20"/>
        </w:rPr>
        <w:t>*</w:t>
      </w:r>
      <w:r w:rsidRPr="009535FB">
        <w:rPr>
          <w:iCs/>
          <w:szCs w:val="20"/>
        </w:rPr>
        <w:t>Compl5</w:t>
      </w:r>
      <w:r w:rsidRPr="002F46D1">
        <w:rPr>
          <w:i/>
          <w:iCs/>
          <w:szCs w:val="20"/>
        </w:rPr>
        <w:t xml:space="preserve"> </w:t>
      </w:r>
      <w:r w:rsidRPr="002F46D1">
        <w:rPr>
          <w:szCs w:val="20"/>
        </w:rPr>
        <w:t>+ β</w:t>
      </w:r>
      <w:r w:rsidRPr="002F46D1">
        <w:rPr>
          <w:szCs w:val="20"/>
          <w:vertAlign w:val="subscript"/>
        </w:rPr>
        <w:t>3</w:t>
      </w:r>
      <w:r w:rsidRPr="002F46D1">
        <w:rPr>
          <w:szCs w:val="20"/>
        </w:rPr>
        <w:t>*</w:t>
      </w:r>
      <w:r w:rsidRPr="009535FB">
        <w:rPr>
          <w:iCs/>
          <w:szCs w:val="20"/>
        </w:rPr>
        <w:t>Post-Merger</w:t>
      </w:r>
      <w:r w:rsidRPr="009535FB">
        <w:rPr>
          <w:szCs w:val="20"/>
        </w:rPr>
        <w:t>*</w:t>
      </w:r>
      <w:r w:rsidRPr="009535FB">
        <w:rPr>
          <w:iCs/>
          <w:szCs w:val="20"/>
        </w:rPr>
        <w:t>Compl5</w:t>
      </w:r>
      <w:r>
        <w:rPr>
          <w:i/>
          <w:iCs/>
          <w:szCs w:val="20"/>
        </w:rPr>
        <w:t xml:space="preserve"> + </w:t>
      </w:r>
      <w:r w:rsidR="00C9694E">
        <w:rPr>
          <w:i/>
          <w:iCs/>
          <w:szCs w:val="20"/>
        </w:rPr>
        <w:tab/>
      </w:r>
      <w:r w:rsidRPr="002F46D1">
        <w:rPr>
          <w:szCs w:val="20"/>
        </w:rPr>
        <w:t>Σβ</w:t>
      </w:r>
      <w:proofErr w:type="spellStart"/>
      <w:r w:rsidRPr="002F46D1">
        <w:rPr>
          <w:szCs w:val="20"/>
        </w:rPr>
        <w:t>i</w:t>
      </w:r>
      <w:proofErr w:type="spellEnd"/>
      <w:r>
        <w:rPr>
          <w:szCs w:val="20"/>
        </w:rPr>
        <w:t xml:space="preserve">*Control Variables </w:t>
      </w:r>
      <w:r>
        <w:rPr>
          <w:iCs/>
          <w:szCs w:val="20"/>
        </w:rPr>
        <w:t>(for models</w:t>
      </w:r>
      <w:r w:rsidRPr="002F46D1">
        <w:rPr>
          <w:iCs/>
          <w:szCs w:val="20"/>
        </w:rPr>
        <w:t xml:space="preserve"> 1</w:t>
      </w:r>
      <w:r>
        <w:rPr>
          <w:iCs/>
          <w:szCs w:val="20"/>
        </w:rPr>
        <w:t xml:space="preserve"> and 4</w:t>
      </w:r>
      <w:r w:rsidRPr="002F46D1">
        <w:rPr>
          <w:iCs/>
          <w:szCs w:val="20"/>
        </w:rPr>
        <w:t>);</w:t>
      </w:r>
    </w:p>
    <w:p w:rsidR="00C9694E" w:rsidRDefault="00C9694E" w:rsidP="00A44F5C">
      <w:pPr>
        <w:rPr>
          <w:iCs/>
          <w:szCs w:val="20"/>
        </w:rPr>
      </w:pPr>
    </w:p>
    <w:p w:rsidR="00C9694E" w:rsidRPr="009535FB" w:rsidRDefault="00A44F5C" w:rsidP="009535FB">
      <w:pPr>
        <w:rPr>
          <w:i/>
          <w:iCs/>
          <w:szCs w:val="20"/>
        </w:rPr>
      </w:pPr>
      <w:proofErr w:type="spellStart"/>
      <w:r w:rsidRPr="002F46D1">
        <w:rPr>
          <w:szCs w:val="20"/>
        </w:rPr>
        <w:t>perc_zeroret</w:t>
      </w:r>
      <w:proofErr w:type="spellEnd"/>
      <w:r w:rsidRPr="002F46D1">
        <w:rPr>
          <w:szCs w:val="20"/>
        </w:rPr>
        <w:t xml:space="preserve"> (</w:t>
      </w:r>
      <w:proofErr w:type="spellStart"/>
      <w:r w:rsidRPr="00A40E27">
        <w:rPr>
          <w:szCs w:val="20"/>
        </w:rPr>
        <w:t>log_mn_bidask</w:t>
      </w:r>
      <w:proofErr w:type="spellEnd"/>
      <w:r w:rsidRPr="002F46D1">
        <w:rPr>
          <w:szCs w:val="20"/>
        </w:rPr>
        <w:t>) = β</w:t>
      </w:r>
      <w:r w:rsidRPr="002F46D1">
        <w:rPr>
          <w:szCs w:val="20"/>
          <w:vertAlign w:val="subscript"/>
        </w:rPr>
        <w:t>0</w:t>
      </w:r>
      <w:r w:rsidRPr="002F46D1">
        <w:rPr>
          <w:szCs w:val="20"/>
        </w:rPr>
        <w:t xml:space="preserve"> + β</w:t>
      </w:r>
      <w:r w:rsidRPr="002F46D1">
        <w:rPr>
          <w:szCs w:val="20"/>
          <w:vertAlign w:val="subscript"/>
        </w:rPr>
        <w:t>1</w:t>
      </w:r>
      <w:r w:rsidRPr="002F46D1">
        <w:rPr>
          <w:szCs w:val="20"/>
        </w:rPr>
        <w:t>*</w:t>
      </w:r>
      <w:r w:rsidRPr="009535FB">
        <w:rPr>
          <w:szCs w:val="20"/>
        </w:rPr>
        <w:t>Post-Merger</w:t>
      </w:r>
      <w:r w:rsidRPr="009535FB">
        <w:rPr>
          <w:iCs/>
          <w:szCs w:val="20"/>
        </w:rPr>
        <w:t xml:space="preserve"> </w:t>
      </w:r>
      <w:r w:rsidRPr="002F46D1">
        <w:rPr>
          <w:szCs w:val="20"/>
        </w:rPr>
        <w:t>+ β</w:t>
      </w:r>
      <w:r w:rsidRPr="002F46D1">
        <w:rPr>
          <w:szCs w:val="20"/>
          <w:vertAlign w:val="subscript"/>
        </w:rPr>
        <w:t>2</w:t>
      </w:r>
      <w:r w:rsidRPr="002F46D1">
        <w:rPr>
          <w:szCs w:val="20"/>
        </w:rPr>
        <w:t>*</w:t>
      </w:r>
      <w:r w:rsidRPr="009535FB">
        <w:rPr>
          <w:iCs/>
          <w:szCs w:val="20"/>
        </w:rPr>
        <w:t xml:space="preserve">Compl4 </w:t>
      </w:r>
      <w:r w:rsidRPr="002F46D1">
        <w:rPr>
          <w:szCs w:val="20"/>
        </w:rPr>
        <w:t>+ β</w:t>
      </w:r>
      <w:r w:rsidRPr="002F46D1">
        <w:rPr>
          <w:szCs w:val="20"/>
          <w:vertAlign w:val="subscript"/>
        </w:rPr>
        <w:t>3</w:t>
      </w:r>
      <w:r w:rsidRPr="002F46D1">
        <w:rPr>
          <w:szCs w:val="20"/>
        </w:rPr>
        <w:t>*</w:t>
      </w:r>
      <w:r w:rsidRPr="009535FB">
        <w:rPr>
          <w:iCs/>
          <w:szCs w:val="20"/>
        </w:rPr>
        <w:t>Post-Merger</w:t>
      </w:r>
      <w:r w:rsidRPr="009535FB">
        <w:rPr>
          <w:szCs w:val="20"/>
        </w:rPr>
        <w:t>*</w:t>
      </w:r>
      <w:r w:rsidRPr="009535FB">
        <w:rPr>
          <w:iCs/>
          <w:szCs w:val="20"/>
        </w:rPr>
        <w:t>Compl4</w:t>
      </w:r>
      <w:r>
        <w:rPr>
          <w:i/>
          <w:iCs/>
          <w:szCs w:val="20"/>
        </w:rPr>
        <w:t xml:space="preserve"> </w:t>
      </w:r>
      <w:r w:rsidRPr="002F46D1">
        <w:rPr>
          <w:szCs w:val="20"/>
        </w:rPr>
        <w:t xml:space="preserve"> </w:t>
      </w:r>
      <w:r w:rsidR="00C81DDE">
        <w:rPr>
          <w:szCs w:val="20"/>
        </w:rPr>
        <w:tab/>
        <w:t>+</w:t>
      </w:r>
      <w:r w:rsidRPr="002F46D1">
        <w:rPr>
          <w:szCs w:val="20"/>
        </w:rPr>
        <w:t>β</w:t>
      </w:r>
      <w:r>
        <w:rPr>
          <w:szCs w:val="20"/>
          <w:vertAlign w:val="subscript"/>
        </w:rPr>
        <w:t>4</w:t>
      </w:r>
      <w:r w:rsidRPr="00577839">
        <w:rPr>
          <w:szCs w:val="20"/>
        </w:rPr>
        <w:t>*</w:t>
      </w:r>
      <w:proofErr w:type="spellStart"/>
      <w:r w:rsidRPr="00C81DDE">
        <w:rPr>
          <w:szCs w:val="20"/>
        </w:rPr>
        <w:t>Qtrly_dum</w:t>
      </w:r>
      <w:proofErr w:type="spellEnd"/>
      <w:r w:rsidRPr="00577839">
        <w:rPr>
          <w:szCs w:val="20"/>
        </w:rPr>
        <w:t xml:space="preserve"> +</w:t>
      </w:r>
      <w:r>
        <w:rPr>
          <w:szCs w:val="20"/>
          <w:vertAlign w:val="subscript"/>
        </w:rPr>
        <w:t xml:space="preserve"> </w:t>
      </w:r>
      <w:r w:rsidRPr="002F46D1">
        <w:rPr>
          <w:szCs w:val="20"/>
        </w:rPr>
        <w:t>β</w:t>
      </w:r>
      <w:r>
        <w:rPr>
          <w:szCs w:val="20"/>
          <w:vertAlign w:val="subscript"/>
        </w:rPr>
        <w:t>5</w:t>
      </w:r>
      <w:r w:rsidRPr="00577839">
        <w:rPr>
          <w:szCs w:val="20"/>
        </w:rPr>
        <w:t>*</w:t>
      </w:r>
      <w:r w:rsidRPr="00C81DDE">
        <w:rPr>
          <w:szCs w:val="20"/>
        </w:rPr>
        <w:t>Post-Merger*</w:t>
      </w:r>
      <w:proofErr w:type="spellStart"/>
      <w:r w:rsidRPr="00C81DDE">
        <w:rPr>
          <w:szCs w:val="20"/>
        </w:rPr>
        <w:t>Qtrly_dum</w:t>
      </w:r>
      <w:proofErr w:type="spellEnd"/>
      <w:r w:rsidRPr="00535753">
        <w:rPr>
          <w:szCs w:val="20"/>
        </w:rPr>
        <w:t xml:space="preserve"> +</w:t>
      </w:r>
      <w:r>
        <w:rPr>
          <w:szCs w:val="20"/>
        </w:rPr>
        <w:t xml:space="preserve"> </w:t>
      </w:r>
      <w:r w:rsidRPr="002F46D1">
        <w:rPr>
          <w:szCs w:val="20"/>
        </w:rPr>
        <w:t>Σβ</w:t>
      </w:r>
      <w:proofErr w:type="spellStart"/>
      <w:r w:rsidRPr="002F46D1">
        <w:rPr>
          <w:szCs w:val="20"/>
        </w:rPr>
        <w:t>i</w:t>
      </w:r>
      <w:proofErr w:type="spellEnd"/>
      <w:r>
        <w:rPr>
          <w:szCs w:val="20"/>
        </w:rPr>
        <w:t>*Control Variables (for models</w:t>
      </w:r>
      <w:r w:rsidRPr="002F46D1">
        <w:rPr>
          <w:szCs w:val="20"/>
        </w:rPr>
        <w:t xml:space="preserve"> 2</w:t>
      </w:r>
      <w:r>
        <w:rPr>
          <w:szCs w:val="20"/>
        </w:rPr>
        <w:t xml:space="preserve"> and </w:t>
      </w:r>
    </w:p>
    <w:p w:rsidR="00A44F5C" w:rsidRDefault="00C9694E" w:rsidP="00C9694E">
      <w:pPr>
        <w:rPr>
          <w:szCs w:val="20"/>
        </w:rPr>
      </w:pPr>
      <w:r>
        <w:rPr>
          <w:szCs w:val="20"/>
        </w:rPr>
        <w:tab/>
      </w:r>
      <w:r w:rsidR="00A44F5C">
        <w:rPr>
          <w:szCs w:val="20"/>
        </w:rPr>
        <w:t>5</w:t>
      </w:r>
      <w:r w:rsidR="00A44F5C" w:rsidRPr="002F46D1">
        <w:rPr>
          <w:szCs w:val="20"/>
        </w:rPr>
        <w:t>)</w:t>
      </w:r>
      <w:r w:rsidR="00A44F5C">
        <w:rPr>
          <w:szCs w:val="20"/>
        </w:rPr>
        <w:t>; and</w:t>
      </w:r>
    </w:p>
    <w:p w:rsidR="00C9694E" w:rsidRDefault="00C9694E" w:rsidP="00C9694E">
      <w:pPr>
        <w:rPr>
          <w:szCs w:val="20"/>
        </w:rPr>
      </w:pPr>
    </w:p>
    <w:p w:rsidR="00A44F5C" w:rsidRDefault="00A44F5C" w:rsidP="00A44F5C">
      <w:pPr>
        <w:rPr>
          <w:szCs w:val="20"/>
        </w:rPr>
      </w:pPr>
      <w:proofErr w:type="spellStart"/>
      <w:r w:rsidRPr="002F46D1">
        <w:rPr>
          <w:szCs w:val="20"/>
        </w:rPr>
        <w:t>perc_zeroret</w:t>
      </w:r>
      <w:proofErr w:type="spellEnd"/>
      <w:r w:rsidRPr="002F46D1">
        <w:rPr>
          <w:szCs w:val="20"/>
        </w:rPr>
        <w:t xml:space="preserve"> (</w:t>
      </w:r>
      <w:proofErr w:type="spellStart"/>
      <w:r w:rsidRPr="00A40E27">
        <w:rPr>
          <w:szCs w:val="20"/>
        </w:rPr>
        <w:t>log_mn_bidask</w:t>
      </w:r>
      <w:proofErr w:type="spellEnd"/>
      <w:r w:rsidRPr="002F46D1">
        <w:rPr>
          <w:szCs w:val="20"/>
        </w:rPr>
        <w:t>) = β</w:t>
      </w:r>
      <w:r w:rsidRPr="002F46D1">
        <w:rPr>
          <w:szCs w:val="20"/>
          <w:vertAlign w:val="subscript"/>
        </w:rPr>
        <w:t>0</w:t>
      </w:r>
      <w:r w:rsidRPr="002F46D1">
        <w:rPr>
          <w:szCs w:val="20"/>
        </w:rPr>
        <w:t xml:space="preserve"> +</w:t>
      </w:r>
      <w:r>
        <w:rPr>
          <w:szCs w:val="20"/>
        </w:rPr>
        <w:t xml:space="preserve"> </w:t>
      </w:r>
      <w:r w:rsidRPr="002F46D1">
        <w:rPr>
          <w:szCs w:val="20"/>
        </w:rPr>
        <w:t>β</w:t>
      </w:r>
      <w:r w:rsidRPr="002F46D1">
        <w:rPr>
          <w:szCs w:val="20"/>
          <w:vertAlign w:val="subscript"/>
        </w:rPr>
        <w:t>1</w:t>
      </w:r>
      <w:r>
        <w:rPr>
          <w:szCs w:val="20"/>
          <w:vertAlign w:val="subscript"/>
        </w:rPr>
        <w:t>*</w:t>
      </w:r>
      <w:r w:rsidRPr="00C81DDE">
        <w:rPr>
          <w:iCs/>
          <w:szCs w:val="20"/>
        </w:rPr>
        <w:t>Post-Merger</w:t>
      </w:r>
      <w:r w:rsidRPr="002F46D1">
        <w:rPr>
          <w:i/>
          <w:iCs/>
          <w:szCs w:val="20"/>
        </w:rPr>
        <w:t xml:space="preserve"> </w:t>
      </w:r>
      <w:r w:rsidRPr="002F46D1">
        <w:rPr>
          <w:szCs w:val="20"/>
        </w:rPr>
        <w:t xml:space="preserve">+ </w:t>
      </w:r>
      <w:r>
        <w:rPr>
          <w:szCs w:val="20"/>
        </w:rPr>
        <w:t>Σβ</w:t>
      </w:r>
      <w:proofErr w:type="spellStart"/>
      <w:r w:rsidRPr="008B73EA">
        <w:rPr>
          <w:szCs w:val="20"/>
          <w:vertAlign w:val="subscript"/>
        </w:rPr>
        <w:t>i</w:t>
      </w:r>
      <w:proofErr w:type="spellEnd"/>
      <w:r>
        <w:rPr>
          <w:szCs w:val="20"/>
        </w:rPr>
        <w:t>*</w:t>
      </w:r>
      <w:proofErr w:type="spellStart"/>
      <w:r w:rsidRPr="00C81DDE">
        <w:rPr>
          <w:szCs w:val="20"/>
        </w:rPr>
        <w:t>Individual_Compliance_Var</w:t>
      </w:r>
      <w:proofErr w:type="spellEnd"/>
      <w:r>
        <w:rPr>
          <w:szCs w:val="20"/>
        </w:rPr>
        <w:t xml:space="preserve"> </w:t>
      </w:r>
    </w:p>
    <w:p w:rsidR="00A44F5C" w:rsidRDefault="00A44F5C" w:rsidP="00A44F5C">
      <w:pPr>
        <w:rPr>
          <w:szCs w:val="20"/>
        </w:rPr>
      </w:pPr>
      <w:r>
        <w:rPr>
          <w:szCs w:val="20"/>
        </w:rPr>
        <w:tab/>
      </w:r>
      <w:r w:rsidRPr="002F46D1">
        <w:rPr>
          <w:szCs w:val="20"/>
        </w:rPr>
        <w:t xml:space="preserve">+ </w:t>
      </w:r>
      <w:r>
        <w:rPr>
          <w:szCs w:val="20"/>
        </w:rPr>
        <w:t>Σβ</w:t>
      </w:r>
      <w:r w:rsidRPr="008B73EA">
        <w:rPr>
          <w:szCs w:val="20"/>
          <w:vertAlign w:val="subscript"/>
        </w:rPr>
        <w:t>j</w:t>
      </w:r>
      <w:r>
        <w:rPr>
          <w:szCs w:val="20"/>
        </w:rPr>
        <w:t>*</w:t>
      </w:r>
      <w:r w:rsidRPr="00C81DDE">
        <w:rPr>
          <w:szCs w:val="20"/>
        </w:rPr>
        <w:t>Post-Merger*</w:t>
      </w:r>
      <w:proofErr w:type="spellStart"/>
      <w:r w:rsidRPr="00C81DDE">
        <w:rPr>
          <w:szCs w:val="20"/>
        </w:rPr>
        <w:t>Individual_Compliance_</w:t>
      </w:r>
      <w:proofErr w:type="gramStart"/>
      <w:r w:rsidRPr="00C81DDE">
        <w:rPr>
          <w:szCs w:val="20"/>
        </w:rPr>
        <w:t>Var</w:t>
      </w:r>
      <w:proofErr w:type="spellEnd"/>
      <w:r w:rsidRPr="00BE730C">
        <w:rPr>
          <w:i/>
          <w:szCs w:val="20"/>
        </w:rPr>
        <w:t xml:space="preserve"> </w:t>
      </w:r>
      <w:r>
        <w:rPr>
          <w:i/>
          <w:szCs w:val="20"/>
        </w:rPr>
        <w:t xml:space="preserve"> +</w:t>
      </w:r>
      <w:proofErr w:type="gramEnd"/>
      <w:r w:rsidRPr="002F46D1">
        <w:rPr>
          <w:szCs w:val="20"/>
        </w:rPr>
        <w:t xml:space="preserve"> Σβ</w:t>
      </w:r>
      <w:r w:rsidRPr="008B73EA">
        <w:rPr>
          <w:szCs w:val="20"/>
          <w:vertAlign w:val="subscript"/>
        </w:rPr>
        <w:t>k</w:t>
      </w:r>
      <w:r w:rsidRPr="002F46D1">
        <w:rPr>
          <w:szCs w:val="20"/>
        </w:rPr>
        <w:t>*Control Variables (for model</w:t>
      </w:r>
      <w:r>
        <w:rPr>
          <w:szCs w:val="20"/>
        </w:rPr>
        <w:t>s</w:t>
      </w:r>
      <w:r w:rsidRPr="002F46D1">
        <w:rPr>
          <w:szCs w:val="20"/>
        </w:rPr>
        <w:t xml:space="preserve"> 3</w:t>
      </w:r>
      <w:r>
        <w:rPr>
          <w:szCs w:val="20"/>
        </w:rPr>
        <w:t xml:space="preserve"> </w:t>
      </w:r>
      <w:r w:rsidR="00C9694E">
        <w:rPr>
          <w:szCs w:val="20"/>
        </w:rPr>
        <w:tab/>
      </w:r>
      <w:r>
        <w:rPr>
          <w:szCs w:val="20"/>
        </w:rPr>
        <w:t>and 6</w:t>
      </w:r>
      <w:r w:rsidRPr="002F46D1">
        <w:rPr>
          <w:szCs w:val="20"/>
        </w:rPr>
        <w:t>)</w:t>
      </w:r>
      <w:r>
        <w:rPr>
          <w:szCs w:val="20"/>
        </w:rPr>
        <w:t>.</w:t>
      </w:r>
    </w:p>
    <w:p w:rsidR="00A44F5C" w:rsidRPr="002F46D1" w:rsidRDefault="00A44F5C" w:rsidP="00A44F5C">
      <w:pPr>
        <w:rPr>
          <w:szCs w:val="20"/>
        </w:rPr>
      </w:pPr>
    </w:p>
    <w:p w:rsidR="00A44F5C" w:rsidRDefault="00A44F5C" w:rsidP="00A44F5C">
      <w:pPr>
        <w:jc w:val="both"/>
        <w:rPr>
          <w:szCs w:val="20"/>
        </w:rPr>
      </w:pPr>
      <w:r>
        <w:rPr>
          <w:szCs w:val="20"/>
        </w:rPr>
        <w:t xml:space="preserve">The variables in these models are as defined in table 2. </w:t>
      </w:r>
    </w:p>
    <w:p w:rsidR="00C9694E" w:rsidRDefault="00C9694E" w:rsidP="00A44F5C">
      <w:pPr>
        <w:jc w:val="both"/>
        <w:rPr>
          <w:szCs w:val="20"/>
        </w:rPr>
      </w:pPr>
    </w:p>
    <w:p w:rsidR="00A44F5C" w:rsidRPr="002F46D1" w:rsidRDefault="00A44F5C" w:rsidP="00A44F5C">
      <w:pPr>
        <w:jc w:val="both"/>
        <w:rPr>
          <w:szCs w:val="20"/>
        </w:rPr>
      </w:pPr>
      <w:r w:rsidRPr="002F46D1">
        <w:rPr>
          <w:szCs w:val="20"/>
        </w:rPr>
        <w:t xml:space="preserve">*** indicates statistical </w:t>
      </w:r>
      <w:r w:rsidR="006E74DC" w:rsidRPr="002F46D1">
        <w:rPr>
          <w:szCs w:val="20"/>
        </w:rPr>
        <w:t>significan</w:t>
      </w:r>
      <w:r w:rsidR="006E74DC">
        <w:rPr>
          <w:szCs w:val="20"/>
        </w:rPr>
        <w:t>ce</w:t>
      </w:r>
      <w:r w:rsidR="006E74DC" w:rsidRPr="002F46D1">
        <w:rPr>
          <w:szCs w:val="20"/>
        </w:rPr>
        <w:t xml:space="preserve"> </w:t>
      </w:r>
      <w:r w:rsidRPr="002F46D1">
        <w:rPr>
          <w:szCs w:val="20"/>
        </w:rPr>
        <w:t xml:space="preserve">at the 0.01 level, ** indicates statistical significance at the 0.05 level, and * indicates statistical </w:t>
      </w:r>
      <w:r w:rsidR="006E74DC" w:rsidRPr="002F46D1">
        <w:rPr>
          <w:szCs w:val="20"/>
        </w:rPr>
        <w:t>significan</w:t>
      </w:r>
      <w:r w:rsidR="006E74DC">
        <w:rPr>
          <w:szCs w:val="20"/>
        </w:rPr>
        <w:t>ce</w:t>
      </w:r>
      <w:r w:rsidR="006E74DC" w:rsidRPr="002F46D1">
        <w:rPr>
          <w:szCs w:val="20"/>
        </w:rPr>
        <w:t xml:space="preserve"> </w:t>
      </w:r>
      <w:r w:rsidRPr="002F46D1">
        <w:rPr>
          <w:szCs w:val="20"/>
        </w:rPr>
        <w:t>at the 0.10 level (two-tailed test).</w:t>
      </w:r>
    </w:p>
    <w:p w:rsidR="00A44F5C" w:rsidRDefault="00A44F5C" w:rsidP="00A44F5C"/>
    <w:p w:rsidR="00A44F5C" w:rsidRDefault="00A44F5C" w:rsidP="00A44F5C"/>
    <w:p w:rsidR="00A44F5C" w:rsidRPr="00577839" w:rsidRDefault="00A44F5C" w:rsidP="00A44F5C">
      <w:pPr>
        <w:sectPr w:rsidR="00A44F5C" w:rsidRPr="00577839" w:rsidSect="00714358">
          <w:pgSz w:w="12240" w:h="15840"/>
          <w:pgMar w:top="1440" w:right="1170" w:bottom="1440" w:left="1440" w:header="720" w:footer="720" w:gutter="0"/>
          <w:cols w:space="720"/>
          <w:docGrid w:linePitch="360"/>
        </w:sectPr>
      </w:pPr>
    </w:p>
    <w:p w:rsidR="00A44F5C" w:rsidRPr="00A40E27" w:rsidRDefault="00592229" w:rsidP="00A44F5C">
      <w:pPr>
        <w:jc w:val="center"/>
        <w:rPr>
          <w:b/>
        </w:rPr>
      </w:pPr>
      <w:r>
        <w:rPr>
          <w:b/>
        </w:rPr>
        <w:lastRenderedPageBreak/>
        <w:t>Table 6: Timely loss recognition</w:t>
      </w:r>
      <w:r w:rsidR="00A44F5C" w:rsidRPr="00A40E27">
        <w:rPr>
          <w:b/>
        </w:rPr>
        <w:t xml:space="preserve"> results by pre-/post- merger and segment/non-segment partitions</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2542"/>
        <w:gridCol w:w="1108"/>
        <w:gridCol w:w="1108"/>
        <w:gridCol w:w="1169"/>
        <w:gridCol w:w="251"/>
        <w:gridCol w:w="1116"/>
        <w:gridCol w:w="1116"/>
        <w:gridCol w:w="1224"/>
        <w:gridCol w:w="251"/>
        <w:gridCol w:w="1142"/>
        <w:gridCol w:w="1145"/>
        <w:gridCol w:w="1018"/>
      </w:tblGrid>
      <w:tr w:rsidR="00F15D90" w:rsidRPr="00893519" w:rsidTr="00F15D90">
        <w:trPr>
          <w:jc w:val="center"/>
        </w:trPr>
        <w:tc>
          <w:tcPr>
            <w:tcW w:w="964"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p>
        </w:tc>
        <w:tc>
          <w:tcPr>
            <w:tcW w:w="420"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(1)</w:t>
            </w:r>
          </w:p>
        </w:tc>
        <w:tc>
          <w:tcPr>
            <w:tcW w:w="420"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(2)</w:t>
            </w:r>
          </w:p>
        </w:tc>
        <w:tc>
          <w:tcPr>
            <w:tcW w:w="443"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Pr>
                <w:rFonts w:ascii="Times New Roman" w:hAnsi="Times New Roman"/>
                <w:b/>
                <w:sz w:val="20"/>
                <w:szCs w:val="20"/>
              </w:rPr>
              <w:t>(3)</w:t>
            </w:r>
          </w:p>
        </w:tc>
        <w:tc>
          <w:tcPr>
            <w:tcW w:w="95" w:type="pct"/>
            <w:tcBorders>
              <w:top w:val="single" w:sz="12" w:space="0" w:color="auto"/>
              <w:left w:val="nil"/>
              <w:bottom w:val="nil"/>
              <w:right w:val="nil"/>
            </w:tcBorders>
          </w:tcPr>
          <w:p w:rsidR="00A44F5C" w:rsidRPr="00893519" w:rsidRDefault="00A44F5C" w:rsidP="00714358">
            <w:pPr>
              <w:pStyle w:val="PlainText"/>
              <w:jc w:val="center"/>
              <w:rPr>
                <w:rFonts w:ascii="Times New Roman" w:hAnsi="Times New Roman"/>
                <w:b/>
                <w:sz w:val="20"/>
                <w:szCs w:val="20"/>
              </w:rPr>
            </w:pPr>
          </w:p>
        </w:tc>
        <w:tc>
          <w:tcPr>
            <w:tcW w:w="423"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w:t>
            </w:r>
            <w:r>
              <w:rPr>
                <w:rFonts w:ascii="Times New Roman" w:hAnsi="Times New Roman"/>
                <w:b/>
                <w:sz w:val="20"/>
                <w:szCs w:val="20"/>
              </w:rPr>
              <w:t>4</w:t>
            </w:r>
            <w:r w:rsidRPr="00893519">
              <w:rPr>
                <w:rFonts w:ascii="Times New Roman" w:hAnsi="Times New Roman"/>
                <w:b/>
                <w:sz w:val="20"/>
                <w:szCs w:val="20"/>
              </w:rPr>
              <w:t>)</w:t>
            </w:r>
          </w:p>
        </w:tc>
        <w:tc>
          <w:tcPr>
            <w:tcW w:w="423"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w:t>
            </w:r>
            <w:r>
              <w:rPr>
                <w:rFonts w:ascii="Times New Roman" w:hAnsi="Times New Roman"/>
                <w:b/>
                <w:sz w:val="20"/>
                <w:szCs w:val="20"/>
              </w:rPr>
              <w:t>5</w:t>
            </w:r>
            <w:r w:rsidRPr="00893519">
              <w:rPr>
                <w:rFonts w:ascii="Times New Roman" w:hAnsi="Times New Roman"/>
                <w:b/>
                <w:sz w:val="20"/>
                <w:szCs w:val="20"/>
              </w:rPr>
              <w:t>)</w:t>
            </w:r>
          </w:p>
        </w:tc>
        <w:tc>
          <w:tcPr>
            <w:tcW w:w="464"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Pr>
                <w:rFonts w:ascii="Times New Roman" w:hAnsi="Times New Roman"/>
                <w:b/>
                <w:sz w:val="20"/>
                <w:szCs w:val="20"/>
              </w:rPr>
              <w:t>(6)</w:t>
            </w:r>
          </w:p>
        </w:tc>
        <w:tc>
          <w:tcPr>
            <w:tcW w:w="95" w:type="pct"/>
            <w:tcBorders>
              <w:top w:val="single" w:sz="12" w:space="0" w:color="auto"/>
              <w:left w:val="nil"/>
              <w:bottom w:val="nil"/>
              <w:right w:val="nil"/>
            </w:tcBorders>
          </w:tcPr>
          <w:p w:rsidR="00A44F5C" w:rsidRPr="00893519" w:rsidRDefault="00A44F5C" w:rsidP="00714358">
            <w:pPr>
              <w:pStyle w:val="PlainText"/>
              <w:jc w:val="center"/>
              <w:rPr>
                <w:rFonts w:ascii="Times New Roman" w:hAnsi="Times New Roman"/>
                <w:b/>
                <w:sz w:val="20"/>
                <w:szCs w:val="20"/>
              </w:rPr>
            </w:pPr>
          </w:p>
        </w:tc>
        <w:tc>
          <w:tcPr>
            <w:tcW w:w="433"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w:t>
            </w:r>
            <w:r>
              <w:rPr>
                <w:rFonts w:ascii="Times New Roman" w:hAnsi="Times New Roman"/>
                <w:b/>
                <w:sz w:val="20"/>
                <w:szCs w:val="20"/>
              </w:rPr>
              <w:t>7</w:t>
            </w:r>
            <w:r w:rsidRPr="00893519">
              <w:rPr>
                <w:rFonts w:ascii="Times New Roman" w:hAnsi="Times New Roman"/>
                <w:b/>
                <w:sz w:val="20"/>
                <w:szCs w:val="20"/>
              </w:rPr>
              <w:t>)</w:t>
            </w:r>
          </w:p>
        </w:tc>
        <w:tc>
          <w:tcPr>
            <w:tcW w:w="434"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w:t>
            </w:r>
            <w:r>
              <w:rPr>
                <w:rFonts w:ascii="Times New Roman" w:hAnsi="Times New Roman"/>
                <w:b/>
                <w:sz w:val="20"/>
                <w:szCs w:val="20"/>
              </w:rPr>
              <w:t>8</w:t>
            </w:r>
            <w:r w:rsidRPr="00893519">
              <w:rPr>
                <w:rFonts w:ascii="Times New Roman" w:hAnsi="Times New Roman"/>
                <w:b/>
                <w:sz w:val="20"/>
                <w:szCs w:val="20"/>
              </w:rPr>
              <w:t>)</w:t>
            </w:r>
          </w:p>
        </w:tc>
        <w:tc>
          <w:tcPr>
            <w:tcW w:w="473" w:type="pct"/>
            <w:tcBorders>
              <w:top w:val="single" w:sz="12" w:space="0" w:color="auto"/>
              <w:left w:val="nil"/>
              <w:bottom w:val="nil"/>
              <w:right w:val="nil"/>
            </w:tcBorders>
            <w:vAlign w:val="bottom"/>
          </w:tcPr>
          <w:p w:rsidR="00A44F5C" w:rsidRPr="00893519" w:rsidRDefault="00A44F5C" w:rsidP="00714358">
            <w:pPr>
              <w:pStyle w:val="PlainText"/>
              <w:jc w:val="center"/>
              <w:rPr>
                <w:rFonts w:ascii="Times New Roman" w:hAnsi="Times New Roman"/>
                <w:b/>
                <w:sz w:val="20"/>
                <w:szCs w:val="20"/>
              </w:rPr>
            </w:pPr>
            <w:r>
              <w:rPr>
                <w:rFonts w:ascii="Times New Roman" w:hAnsi="Times New Roman"/>
                <w:b/>
                <w:sz w:val="20"/>
                <w:szCs w:val="20"/>
              </w:rPr>
              <w:t>(9)</w:t>
            </w:r>
          </w:p>
        </w:tc>
      </w:tr>
      <w:tr w:rsidR="00F15D90" w:rsidRPr="00893519" w:rsidTr="00F15D90">
        <w:trPr>
          <w:jc w:val="center"/>
        </w:trPr>
        <w:tc>
          <w:tcPr>
            <w:tcW w:w="964" w:type="pct"/>
            <w:tcBorders>
              <w:top w:val="nil"/>
              <w:left w:val="nil"/>
              <w:bottom w:val="single" w:sz="12" w:space="0" w:color="auto"/>
              <w:right w:val="nil"/>
            </w:tcBorders>
            <w:vAlign w:val="bottom"/>
          </w:tcPr>
          <w:p w:rsidR="00A44F5C" w:rsidRPr="00893519" w:rsidRDefault="00A44F5C" w:rsidP="00714358">
            <w:pPr>
              <w:pStyle w:val="PlainText"/>
              <w:jc w:val="center"/>
              <w:rPr>
                <w:rFonts w:ascii="Times New Roman" w:hAnsi="Times New Roman"/>
                <w:b/>
                <w:sz w:val="20"/>
                <w:szCs w:val="20"/>
              </w:rPr>
            </w:pPr>
          </w:p>
        </w:tc>
        <w:tc>
          <w:tcPr>
            <w:tcW w:w="420" w:type="pct"/>
            <w:tcBorders>
              <w:top w:val="nil"/>
              <w:left w:val="nil"/>
              <w:bottom w:val="single" w:sz="12" w:space="0" w:color="auto"/>
              <w:right w:val="nil"/>
            </w:tcBorders>
            <w:vAlign w:val="bottom"/>
          </w:tcPr>
          <w:p w:rsidR="00A44F5C" w:rsidRPr="00893519" w:rsidRDefault="00A44F5C" w:rsidP="00F02F62">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r w:rsidRPr="00893519">
              <w:rPr>
                <w:rFonts w:ascii="Times New Roman" w:hAnsi="Times New Roman"/>
                <w:b/>
                <w:sz w:val="20"/>
                <w:szCs w:val="20"/>
              </w:rPr>
              <w:t xml:space="preserve"> Firms</w:t>
            </w:r>
          </w:p>
        </w:tc>
        <w:tc>
          <w:tcPr>
            <w:tcW w:w="420" w:type="pct"/>
            <w:tcBorders>
              <w:top w:val="nil"/>
              <w:left w:val="nil"/>
              <w:bottom w:val="single" w:sz="12" w:space="0" w:color="auto"/>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Segment</w:t>
            </w:r>
            <w:r>
              <w:rPr>
                <w:rFonts w:ascii="Times New Roman" w:hAnsi="Times New Roman"/>
                <w:b/>
                <w:sz w:val="20"/>
                <w:szCs w:val="20"/>
              </w:rPr>
              <w:t xml:space="preserve"> </w:t>
            </w:r>
            <w:r w:rsidRPr="00893519">
              <w:rPr>
                <w:rFonts w:ascii="Times New Roman" w:hAnsi="Times New Roman"/>
                <w:b/>
                <w:sz w:val="20"/>
                <w:szCs w:val="20"/>
              </w:rPr>
              <w:t>Firms</w:t>
            </w:r>
          </w:p>
        </w:tc>
        <w:tc>
          <w:tcPr>
            <w:tcW w:w="443" w:type="pct"/>
            <w:tcBorders>
              <w:top w:val="nil"/>
              <w:left w:val="nil"/>
              <w:bottom w:val="single" w:sz="12" w:space="0" w:color="auto"/>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Diff.</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Seg</w:t>
            </w:r>
            <w:proofErr w:type="spellEnd"/>
            <w:r w:rsidRPr="00893519">
              <w:rPr>
                <w:rFonts w:ascii="Times New Roman" w:hAnsi="Times New Roman"/>
                <w:b/>
                <w:sz w:val="20"/>
                <w:szCs w:val="20"/>
              </w:rPr>
              <w:t>/</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p>
        </w:tc>
        <w:tc>
          <w:tcPr>
            <w:tcW w:w="95" w:type="pct"/>
            <w:tcBorders>
              <w:top w:val="nil"/>
              <w:left w:val="nil"/>
              <w:bottom w:val="single" w:sz="12" w:space="0" w:color="auto"/>
              <w:right w:val="nil"/>
            </w:tcBorders>
          </w:tcPr>
          <w:p w:rsidR="00A44F5C" w:rsidRPr="00893519" w:rsidRDefault="00A44F5C" w:rsidP="00714358">
            <w:pPr>
              <w:pStyle w:val="PlainText"/>
              <w:jc w:val="center"/>
              <w:rPr>
                <w:rFonts w:ascii="Times New Roman" w:hAnsi="Times New Roman"/>
                <w:b/>
                <w:sz w:val="20"/>
                <w:szCs w:val="20"/>
              </w:rPr>
            </w:pPr>
          </w:p>
        </w:tc>
        <w:tc>
          <w:tcPr>
            <w:tcW w:w="423" w:type="pct"/>
            <w:tcBorders>
              <w:top w:val="nil"/>
              <w:left w:val="nil"/>
              <w:bottom w:val="single" w:sz="12" w:space="0" w:color="auto"/>
              <w:right w:val="nil"/>
            </w:tcBorders>
            <w:vAlign w:val="bottom"/>
          </w:tcPr>
          <w:p w:rsidR="00A44F5C" w:rsidRPr="00893519" w:rsidRDefault="00A44F5C" w:rsidP="00F02F62">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r w:rsidRPr="00893519">
              <w:rPr>
                <w:rFonts w:ascii="Times New Roman" w:hAnsi="Times New Roman"/>
                <w:b/>
                <w:sz w:val="20"/>
                <w:szCs w:val="20"/>
              </w:rPr>
              <w:t xml:space="preserve"> Firms</w:t>
            </w:r>
          </w:p>
        </w:tc>
        <w:tc>
          <w:tcPr>
            <w:tcW w:w="423" w:type="pct"/>
            <w:tcBorders>
              <w:top w:val="nil"/>
              <w:left w:val="nil"/>
              <w:bottom w:val="single" w:sz="12" w:space="0" w:color="auto"/>
              <w:right w:val="nil"/>
            </w:tcBorders>
            <w:vAlign w:val="bottom"/>
          </w:tcPr>
          <w:p w:rsidR="00A44F5C" w:rsidRPr="00893519" w:rsidRDefault="00A44F5C" w:rsidP="00F02F62">
            <w:pPr>
              <w:pStyle w:val="PlainText"/>
              <w:jc w:val="center"/>
              <w:rPr>
                <w:rFonts w:ascii="Times New Roman" w:hAnsi="Times New Roman"/>
                <w:b/>
                <w:sz w:val="20"/>
                <w:szCs w:val="20"/>
              </w:rPr>
            </w:pPr>
            <w:proofErr w:type="spellStart"/>
            <w:r w:rsidRPr="00893519">
              <w:rPr>
                <w:rFonts w:ascii="Times New Roman" w:hAnsi="Times New Roman"/>
                <w:b/>
                <w:sz w:val="20"/>
                <w:szCs w:val="20"/>
              </w:rPr>
              <w:t>Low</w:t>
            </w:r>
            <w:r w:rsidR="00F02F62">
              <w:rPr>
                <w:rFonts w:ascii="Times New Roman" w:hAnsi="Times New Roman"/>
                <w:b/>
                <w:sz w:val="20"/>
                <w:szCs w:val="20"/>
              </w:rPr>
              <w:t>Compl</w:t>
            </w:r>
            <w:proofErr w:type="spellEnd"/>
            <w:r w:rsidRPr="00893519">
              <w:rPr>
                <w:rFonts w:ascii="Times New Roman" w:hAnsi="Times New Roman"/>
                <w:b/>
                <w:sz w:val="20"/>
                <w:szCs w:val="20"/>
              </w:rPr>
              <w:t xml:space="preserve"> Segment Firms</w:t>
            </w:r>
          </w:p>
        </w:tc>
        <w:tc>
          <w:tcPr>
            <w:tcW w:w="464" w:type="pct"/>
            <w:tcBorders>
              <w:top w:val="nil"/>
              <w:left w:val="nil"/>
              <w:bottom w:val="single" w:sz="12" w:space="0" w:color="auto"/>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Diff.</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r w:rsidRPr="00893519">
              <w:rPr>
                <w:rFonts w:ascii="Times New Roman" w:hAnsi="Times New Roman"/>
                <w:b/>
                <w:sz w:val="20"/>
                <w:szCs w:val="20"/>
              </w:rPr>
              <w:t>/</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LowCompl</w:t>
            </w:r>
            <w:proofErr w:type="spellEnd"/>
          </w:p>
        </w:tc>
        <w:tc>
          <w:tcPr>
            <w:tcW w:w="95" w:type="pct"/>
            <w:tcBorders>
              <w:top w:val="nil"/>
              <w:left w:val="nil"/>
              <w:bottom w:val="single" w:sz="12" w:space="0" w:color="auto"/>
              <w:right w:val="nil"/>
            </w:tcBorders>
          </w:tcPr>
          <w:p w:rsidR="00A44F5C" w:rsidRPr="00893519" w:rsidRDefault="00A44F5C" w:rsidP="00714358">
            <w:pPr>
              <w:pStyle w:val="PlainText"/>
              <w:jc w:val="center"/>
              <w:rPr>
                <w:rFonts w:ascii="Times New Roman" w:hAnsi="Times New Roman"/>
                <w:b/>
                <w:sz w:val="20"/>
                <w:szCs w:val="20"/>
              </w:rPr>
            </w:pPr>
          </w:p>
        </w:tc>
        <w:tc>
          <w:tcPr>
            <w:tcW w:w="433" w:type="pct"/>
            <w:tcBorders>
              <w:top w:val="nil"/>
              <w:left w:val="nil"/>
              <w:bottom w:val="single" w:sz="12" w:space="0" w:color="auto"/>
              <w:right w:val="nil"/>
            </w:tcBorders>
            <w:vAlign w:val="bottom"/>
          </w:tcPr>
          <w:p w:rsidR="00A44F5C" w:rsidRPr="00893519" w:rsidRDefault="00A44F5C" w:rsidP="00F02F62">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r w:rsidRPr="00893519">
              <w:rPr>
                <w:rFonts w:ascii="Times New Roman" w:hAnsi="Times New Roman"/>
                <w:b/>
                <w:sz w:val="20"/>
                <w:szCs w:val="20"/>
              </w:rPr>
              <w:t xml:space="preserve"> Firms</w:t>
            </w:r>
          </w:p>
        </w:tc>
        <w:tc>
          <w:tcPr>
            <w:tcW w:w="434" w:type="pct"/>
            <w:tcBorders>
              <w:top w:val="nil"/>
              <w:left w:val="nil"/>
              <w:bottom w:val="single" w:sz="12" w:space="0" w:color="auto"/>
              <w:right w:val="nil"/>
            </w:tcBorders>
            <w:vAlign w:val="bottom"/>
          </w:tcPr>
          <w:p w:rsidR="00A44F5C" w:rsidRPr="00893519" w:rsidRDefault="00A44F5C" w:rsidP="00F02F62">
            <w:pPr>
              <w:pStyle w:val="PlainText"/>
              <w:jc w:val="center"/>
              <w:rPr>
                <w:rFonts w:ascii="Times New Roman" w:hAnsi="Times New Roman"/>
                <w:b/>
                <w:sz w:val="20"/>
                <w:szCs w:val="20"/>
              </w:rPr>
            </w:pPr>
            <w:proofErr w:type="spellStart"/>
            <w:r w:rsidRPr="00893519">
              <w:rPr>
                <w:rFonts w:ascii="Times New Roman" w:hAnsi="Times New Roman"/>
                <w:b/>
                <w:sz w:val="20"/>
                <w:szCs w:val="20"/>
              </w:rPr>
              <w:t>High</w:t>
            </w:r>
            <w:r w:rsidR="00F02F62">
              <w:rPr>
                <w:rFonts w:ascii="Times New Roman" w:hAnsi="Times New Roman"/>
                <w:b/>
                <w:sz w:val="20"/>
                <w:szCs w:val="20"/>
              </w:rPr>
              <w:t>Compl</w:t>
            </w:r>
            <w:proofErr w:type="spellEnd"/>
            <w:r w:rsidRPr="00893519">
              <w:rPr>
                <w:rFonts w:ascii="Times New Roman" w:hAnsi="Times New Roman"/>
                <w:b/>
                <w:sz w:val="20"/>
                <w:szCs w:val="20"/>
              </w:rPr>
              <w:t xml:space="preserve"> Segment Firms</w:t>
            </w:r>
          </w:p>
        </w:tc>
        <w:tc>
          <w:tcPr>
            <w:tcW w:w="473" w:type="pct"/>
            <w:tcBorders>
              <w:top w:val="nil"/>
              <w:left w:val="nil"/>
              <w:bottom w:val="single" w:sz="12" w:space="0" w:color="auto"/>
              <w:right w:val="nil"/>
            </w:tcBorders>
            <w:vAlign w:val="bottom"/>
          </w:tcPr>
          <w:p w:rsidR="00A44F5C" w:rsidRPr="00893519" w:rsidRDefault="00A44F5C" w:rsidP="00714358">
            <w:pPr>
              <w:pStyle w:val="PlainText"/>
              <w:jc w:val="center"/>
              <w:rPr>
                <w:rFonts w:ascii="Times New Roman" w:hAnsi="Times New Roman"/>
                <w:b/>
                <w:sz w:val="20"/>
                <w:szCs w:val="20"/>
              </w:rPr>
            </w:pPr>
            <w:r w:rsidRPr="00893519">
              <w:rPr>
                <w:rFonts w:ascii="Times New Roman" w:hAnsi="Times New Roman"/>
                <w:b/>
                <w:sz w:val="20"/>
                <w:szCs w:val="20"/>
              </w:rPr>
              <w:t>Diff</w:t>
            </w:r>
            <w:r>
              <w:rPr>
                <w:rFonts w:ascii="Times New Roman" w:hAnsi="Times New Roman"/>
                <w:b/>
                <w:sz w:val="20"/>
                <w:szCs w:val="20"/>
              </w:rPr>
              <w:t>.</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NonSeg</w:t>
            </w:r>
            <w:proofErr w:type="spellEnd"/>
            <w:r w:rsidRPr="00893519">
              <w:rPr>
                <w:rFonts w:ascii="Times New Roman" w:hAnsi="Times New Roman"/>
                <w:b/>
                <w:sz w:val="20"/>
                <w:szCs w:val="20"/>
              </w:rPr>
              <w:t>/</w:t>
            </w:r>
          </w:p>
          <w:p w:rsidR="00A44F5C" w:rsidRPr="00893519" w:rsidRDefault="00A44F5C" w:rsidP="00714358">
            <w:pPr>
              <w:pStyle w:val="PlainText"/>
              <w:jc w:val="center"/>
              <w:rPr>
                <w:rFonts w:ascii="Times New Roman" w:hAnsi="Times New Roman"/>
                <w:b/>
                <w:sz w:val="20"/>
                <w:szCs w:val="20"/>
              </w:rPr>
            </w:pPr>
            <w:proofErr w:type="spellStart"/>
            <w:r w:rsidRPr="00893519">
              <w:rPr>
                <w:rFonts w:ascii="Times New Roman" w:hAnsi="Times New Roman"/>
                <w:b/>
                <w:sz w:val="20"/>
                <w:szCs w:val="20"/>
              </w:rPr>
              <w:t>HighCompl</w:t>
            </w:r>
            <w:proofErr w:type="spellEnd"/>
          </w:p>
        </w:tc>
      </w:tr>
      <w:tr w:rsidR="00F15D90" w:rsidRPr="00893519" w:rsidTr="00F15D90">
        <w:trPr>
          <w:trHeight w:val="232"/>
          <w:jc w:val="center"/>
        </w:trPr>
        <w:tc>
          <w:tcPr>
            <w:tcW w:w="964" w:type="pct"/>
            <w:tcBorders>
              <w:top w:val="single" w:sz="12" w:space="0" w:color="auto"/>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Return</w:t>
            </w:r>
          </w:p>
        </w:tc>
        <w:tc>
          <w:tcPr>
            <w:tcW w:w="420" w:type="pct"/>
            <w:tcBorders>
              <w:top w:val="single" w:sz="12" w:space="0" w:color="auto"/>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0.001</w:t>
            </w:r>
          </w:p>
        </w:tc>
        <w:tc>
          <w:tcPr>
            <w:tcW w:w="420" w:type="pct"/>
            <w:tcBorders>
              <w:top w:val="single" w:sz="12" w:space="0" w:color="auto"/>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0.001</w:t>
            </w:r>
          </w:p>
        </w:tc>
        <w:tc>
          <w:tcPr>
            <w:tcW w:w="443" w:type="pct"/>
            <w:tcBorders>
              <w:top w:val="single" w:sz="12" w:space="0" w:color="auto"/>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single" w:sz="12" w:space="0" w:color="auto"/>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single" w:sz="12" w:space="0" w:color="auto"/>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0.001</w:t>
            </w:r>
          </w:p>
        </w:tc>
        <w:tc>
          <w:tcPr>
            <w:tcW w:w="423" w:type="pct"/>
            <w:tcBorders>
              <w:top w:val="single" w:sz="12" w:space="0" w:color="auto"/>
              <w:left w:val="nil"/>
              <w:bottom w:val="nil"/>
              <w:right w:val="nil"/>
            </w:tcBorders>
          </w:tcPr>
          <w:p w:rsidR="00A44F5C" w:rsidRPr="00893519" w:rsidRDefault="00A44F5C" w:rsidP="00164837">
            <w:pPr>
              <w:pStyle w:val="PlainText"/>
              <w:rPr>
                <w:rFonts w:ascii="Times New Roman" w:hAnsi="Times New Roman"/>
                <w:sz w:val="20"/>
                <w:szCs w:val="20"/>
              </w:rPr>
            </w:pPr>
            <w:r w:rsidRPr="00893519">
              <w:rPr>
                <w:rFonts w:ascii="Times New Roman" w:hAnsi="Times New Roman"/>
                <w:sz w:val="20"/>
                <w:szCs w:val="20"/>
              </w:rPr>
              <w:t>-0.002</w:t>
            </w:r>
          </w:p>
        </w:tc>
        <w:tc>
          <w:tcPr>
            <w:tcW w:w="464" w:type="pct"/>
            <w:tcBorders>
              <w:top w:val="single" w:sz="12" w:space="0" w:color="auto"/>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single" w:sz="12" w:space="0" w:color="auto"/>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single" w:sz="12" w:space="0" w:color="auto"/>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0.001</w:t>
            </w:r>
          </w:p>
        </w:tc>
        <w:tc>
          <w:tcPr>
            <w:tcW w:w="434" w:type="pct"/>
            <w:tcBorders>
              <w:top w:val="single" w:sz="12" w:space="0" w:color="auto"/>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0.002</w:t>
            </w:r>
          </w:p>
        </w:tc>
        <w:tc>
          <w:tcPr>
            <w:tcW w:w="473" w:type="pct"/>
            <w:tcBorders>
              <w:top w:val="single" w:sz="12" w:space="0" w:color="auto"/>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(1.21)</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(0.26)</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(1.21)</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(0.41)</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(1.21)</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(0.71)</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roofErr w:type="spellStart"/>
            <w:r w:rsidRPr="00893519">
              <w:rPr>
                <w:rFonts w:ascii="Times New Roman" w:hAnsi="Times New Roman"/>
                <w:sz w:val="20"/>
                <w:szCs w:val="20"/>
              </w:rPr>
              <w:t>NegRet</w:t>
            </w:r>
            <w:proofErr w:type="spellEnd"/>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0.005</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0.010</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0.005</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0.028</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0.005</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0.001</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(1.25)</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(1.10)</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(1.25)</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(1.31)</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(1.25)</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(0.15)</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roofErr w:type="spellStart"/>
            <w:r w:rsidRPr="00893519">
              <w:rPr>
                <w:rFonts w:ascii="Times New Roman" w:hAnsi="Times New Roman"/>
                <w:sz w:val="20"/>
                <w:szCs w:val="20"/>
              </w:rPr>
              <w:t>NegRet</w:t>
            </w:r>
            <w:proofErr w:type="spellEnd"/>
            <w:r w:rsidRPr="00893519">
              <w:rPr>
                <w:rFonts w:ascii="Times New Roman" w:hAnsi="Times New Roman"/>
                <w:sz w:val="20"/>
                <w:szCs w:val="20"/>
              </w:rPr>
              <w:t>*Ret</w:t>
            </w:r>
            <w:r>
              <w:rPr>
                <w:rFonts w:ascii="Times New Roman" w:hAnsi="Times New Roman"/>
                <w:sz w:val="20"/>
                <w:szCs w:val="20"/>
              </w:rPr>
              <w:t>urn</w:t>
            </w:r>
          </w:p>
        </w:tc>
        <w:tc>
          <w:tcPr>
            <w:tcW w:w="420"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0.096***</w:t>
            </w:r>
          </w:p>
        </w:tc>
        <w:tc>
          <w:tcPr>
            <w:tcW w:w="420"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0.127***</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0.096***</w:t>
            </w:r>
          </w:p>
        </w:tc>
        <w:tc>
          <w:tcPr>
            <w:tcW w:w="423"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0.189***</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0.096***</w:t>
            </w:r>
          </w:p>
        </w:tc>
        <w:tc>
          <w:tcPr>
            <w:tcW w:w="434"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0.084***</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(7.73)</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(6.12)</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(7.73)</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(4.83)</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(7.73)</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(3.33)</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Post</w:t>
            </w:r>
            <w:r>
              <w:rPr>
                <w:rFonts w:ascii="Times New Roman" w:hAnsi="Times New Roman"/>
                <w:sz w:val="20"/>
                <w:szCs w:val="20"/>
              </w:rPr>
              <w:t>-Merger</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-0.003</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-0.008</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-0.003</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-0.011</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-0.003</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-0.006</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(0.88)</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(1.28)</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(0.88)</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(0.81)</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(0.88)</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(0.95)</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Post</w:t>
            </w:r>
            <w:r>
              <w:rPr>
                <w:rFonts w:ascii="Times New Roman" w:hAnsi="Times New Roman"/>
                <w:sz w:val="20"/>
                <w:szCs w:val="20"/>
              </w:rPr>
              <w:t>-Merger</w:t>
            </w:r>
            <w:r w:rsidRPr="00893519">
              <w:rPr>
                <w:rFonts w:ascii="Times New Roman" w:hAnsi="Times New Roman"/>
                <w:sz w:val="20"/>
                <w:szCs w:val="20"/>
              </w:rPr>
              <w:t>*Ret</w:t>
            </w:r>
            <w:r>
              <w:rPr>
                <w:rFonts w:ascii="Times New Roman" w:hAnsi="Times New Roman"/>
                <w:sz w:val="20"/>
                <w:szCs w:val="20"/>
              </w:rPr>
              <w:t>urn</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0.001</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0.006*</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0.001</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0.006</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0.001</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0.005</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(0.47)</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(1.85)</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(0.47)</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(0.82)</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(0.47)</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(1.61)</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Post</w:t>
            </w:r>
            <w:r>
              <w:rPr>
                <w:rFonts w:ascii="Times New Roman" w:hAnsi="Times New Roman"/>
                <w:sz w:val="20"/>
                <w:szCs w:val="20"/>
              </w:rPr>
              <w:t>-Merger</w:t>
            </w:r>
            <w:r w:rsidRPr="00893519">
              <w:rPr>
                <w:rFonts w:ascii="Times New Roman" w:hAnsi="Times New Roman"/>
                <w:sz w:val="20"/>
                <w:szCs w:val="20"/>
              </w:rPr>
              <w:t>*</w:t>
            </w:r>
            <w:proofErr w:type="spellStart"/>
            <w:r w:rsidRPr="00893519">
              <w:rPr>
                <w:rFonts w:ascii="Times New Roman" w:hAnsi="Times New Roman"/>
                <w:sz w:val="20"/>
                <w:szCs w:val="20"/>
              </w:rPr>
              <w:t>NegRet</w:t>
            </w:r>
            <w:proofErr w:type="spellEnd"/>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-0.011*</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0.002</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-0.011*</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-0.018</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-0.011*</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0.009</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(1.70)</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(0.13)</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(1.70)</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(0.68)</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(1.70)</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(0.67)</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F15D90">
            <w:pPr>
              <w:pStyle w:val="PlainText"/>
              <w:rPr>
                <w:rFonts w:ascii="Times New Roman" w:hAnsi="Times New Roman"/>
                <w:sz w:val="20"/>
                <w:szCs w:val="20"/>
              </w:rPr>
            </w:pPr>
            <w:r w:rsidRPr="00893519">
              <w:rPr>
                <w:rFonts w:ascii="Times New Roman" w:hAnsi="Times New Roman"/>
                <w:sz w:val="20"/>
                <w:szCs w:val="20"/>
              </w:rPr>
              <w:t>Post</w:t>
            </w:r>
            <w:r>
              <w:rPr>
                <w:rFonts w:ascii="Times New Roman" w:hAnsi="Times New Roman"/>
                <w:sz w:val="20"/>
                <w:szCs w:val="20"/>
              </w:rPr>
              <w:t>-Merger</w:t>
            </w:r>
            <w:r w:rsidRPr="00893519">
              <w:rPr>
                <w:rFonts w:ascii="Times New Roman" w:hAnsi="Times New Roman"/>
                <w:sz w:val="20"/>
                <w:szCs w:val="20"/>
              </w:rPr>
              <w:t>*</w:t>
            </w:r>
            <w:proofErr w:type="spellStart"/>
            <w:r w:rsidRPr="00893519">
              <w:rPr>
                <w:rFonts w:ascii="Times New Roman" w:hAnsi="Times New Roman"/>
                <w:sz w:val="20"/>
                <w:szCs w:val="20"/>
              </w:rPr>
              <w:t>NegRet</w:t>
            </w:r>
            <w:proofErr w:type="spellEnd"/>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0.032*</w:t>
            </w:r>
          </w:p>
        </w:tc>
        <w:tc>
          <w:tcPr>
            <w:tcW w:w="420"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0.075***</w:t>
            </w:r>
          </w:p>
        </w:tc>
        <w:tc>
          <w:tcPr>
            <w:tcW w:w="443" w:type="pct"/>
            <w:tcBorders>
              <w:top w:val="nil"/>
              <w:left w:val="nil"/>
              <w:bottom w:val="nil"/>
              <w:right w:val="nil"/>
            </w:tcBorders>
          </w:tcPr>
          <w:p w:rsidR="00A44F5C" w:rsidRPr="00C81DDE" w:rsidRDefault="00A44F5C" w:rsidP="00714358">
            <w:pPr>
              <w:pStyle w:val="PlainText"/>
              <w:jc w:val="center"/>
              <w:rPr>
                <w:rFonts w:ascii="Times New Roman" w:hAnsi="Times New Roman"/>
                <w:sz w:val="20"/>
                <w:szCs w:val="20"/>
              </w:rPr>
            </w:pPr>
            <w:r w:rsidRPr="00C81DDE">
              <w:rPr>
                <w:rFonts w:ascii="Times New Roman" w:hAnsi="Times New Roman"/>
                <w:sz w:val="20"/>
                <w:szCs w:val="20"/>
              </w:rPr>
              <w:t>0.044</w:t>
            </w: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0.032*</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0.031</w:t>
            </w:r>
          </w:p>
        </w:tc>
        <w:tc>
          <w:tcPr>
            <w:tcW w:w="464" w:type="pct"/>
            <w:tcBorders>
              <w:top w:val="nil"/>
              <w:left w:val="nil"/>
              <w:bottom w:val="nil"/>
              <w:right w:val="nil"/>
            </w:tcBorders>
          </w:tcPr>
          <w:p w:rsidR="00A44F5C" w:rsidRPr="00C81DDE" w:rsidRDefault="00A44F5C" w:rsidP="00F15D90">
            <w:pPr>
              <w:pStyle w:val="PlainText"/>
              <w:jc w:val="center"/>
              <w:rPr>
                <w:rFonts w:ascii="Times New Roman" w:hAnsi="Times New Roman"/>
                <w:sz w:val="20"/>
                <w:szCs w:val="20"/>
              </w:rPr>
            </w:pPr>
            <w:r w:rsidRPr="00C81DDE">
              <w:rPr>
                <w:rFonts w:ascii="Times New Roman" w:hAnsi="Times New Roman"/>
                <w:sz w:val="20"/>
                <w:szCs w:val="20"/>
              </w:rPr>
              <w:t>-0.001</w:t>
            </w: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0.032*</w:t>
            </w:r>
          </w:p>
        </w:tc>
        <w:tc>
          <w:tcPr>
            <w:tcW w:w="434"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0.100***</w:t>
            </w:r>
          </w:p>
        </w:tc>
        <w:tc>
          <w:tcPr>
            <w:tcW w:w="473" w:type="pct"/>
            <w:tcBorders>
              <w:top w:val="nil"/>
              <w:left w:val="nil"/>
              <w:bottom w:val="nil"/>
              <w:right w:val="nil"/>
            </w:tcBorders>
          </w:tcPr>
          <w:p w:rsidR="00A44F5C" w:rsidRPr="00C81DDE" w:rsidRDefault="00A44F5C" w:rsidP="00F15D90">
            <w:pPr>
              <w:pStyle w:val="PlainText"/>
              <w:jc w:val="center"/>
              <w:rPr>
                <w:rFonts w:ascii="Times New Roman" w:hAnsi="Times New Roman"/>
                <w:sz w:val="20"/>
                <w:szCs w:val="20"/>
              </w:rPr>
            </w:pPr>
            <w:r w:rsidRPr="00C81DDE">
              <w:rPr>
                <w:rFonts w:ascii="Times New Roman" w:hAnsi="Times New Roman"/>
                <w:sz w:val="20"/>
                <w:szCs w:val="20"/>
              </w:rPr>
              <w:t>0.069*</w:t>
            </w:r>
          </w:p>
        </w:tc>
      </w:tr>
      <w:tr w:rsidR="00F15D90" w:rsidRPr="00893519" w:rsidTr="00F15D90">
        <w:trPr>
          <w:trHeight w:val="232"/>
          <w:jc w:val="center"/>
        </w:trPr>
        <w:tc>
          <w:tcPr>
            <w:tcW w:w="964" w:type="pct"/>
            <w:tcBorders>
              <w:top w:val="nil"/>
              <w:left w:val="nil"/>
              <w:bottom w:val="nil"/>
              <w:right w:val="nil"/>
            </w:tcBorders>
          </w:tcPr>
          <w:p w:rsidR="00A44F5C" w:rsidRPr="00893519" w:rsidRDefault="00F15D90" w:rsidP="00714358">
            <w:pPr>
              <w:pStyle w:val="PlainText"/>
              <w:rPr>
                <w:rFonts w:ascii="Times New Roman" w:hAnsi="Times New Roman"/>
                <w:sz w:val="20"/>
                <w:szCs w:val="20"/>
              </w:rPr>
            </w:pPr>
            <w:r w:rsidRPr="00893519">
              <w:rPr>
                <w:rFonts w:ascii="Times New Roman" w:hAnsi="Times New Roman"/>
                <w:sz w:val="20"/>
                <w:szCs w:val="20"/>
              </w:rPr>
              <w:t>*Ret</w:t>
            </w:r>
            <w:r>
              <w:rPr>
                <w:rFonts w:ascii="Times New Roman" w:hAnsi="Times New Roman"/>
                <w:sz w:val="20"/>
                <w:szCs w:val="20"/>
              </w:rPr>
              <w:t>urn</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(1.71)</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(2.64)</w:t>
            </w:r>
          </w:p>
        </w:tc>
        <w:tc>
          <w:tcPr>
            <w:tcW w:w="443" w:type="pct"/>
            <w:tcBorders>
              <w:top w:val="nil"/>
              <w:left w:val="nil"/>
              <w:bottom w:val="nil"/>
              <w:right w:val="nil"/>
            </w:tcBorders>
          </w:tcPr>
          <w:p w:rsidR="00A44F5C" w:rsidRPr="00C81DDE" w:rsidRDefault="00A44F5C" w:rsidP="00714358">
            <w:pPr>
              <w:pStyle w:val="PlainText"/>
              <w:jc w:val="center"/>
              <w:rPr>
                <w:rFonts w:ascii="Times New Roman" w:hAnsi="Times New Roman"/>
                <w:sz w:val="20"/>
                <w:szCs w:val="20"/>
              </w:rPr>
            </w:pPr>
            <w:r w:rsidRPr="00C81DDE">
              <w:rPr>
                <w:rFonts w:ascii="Times New Roman" w:hAnsi="Times New Roman"/>
                <w:sz w:val="20"/>
                <w:szCs w:val="20"/>
              </w:rPr>
              <w:t>(1.35)</w:t>
            </w: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(1.71)</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(0.59)</w:t>
            </w:r>
          </w:p>
        </w:tc>
        <w:tc>
          <w:tcPr>
            <w:tcW w:w="464" w:type="pct"/>
            <w:tcBorders>
              <w:top w:val="nil"/>
              <w:left w:val="nil"/>
              <w:bottom w:val="nil"/>
              <w:right w:val="nil"/>
            </w:tcBorders>
          </w:tcPr>
          <w:p w:rsidR="00A44F5C" w:rsidRPr="00C81DDE" w:rsidRDefault="00A44F5C" w:rsidP="00F15D90">
            <w:pPr>
              <w:pStyle w:val="PlainText"/>
              <w:jc w:val="center"/>
              <w:rPr>
                <w:rFonts w:ascii="Times New Roman" w:hAnsi="Times New Roman"/>
                <w:sz w:val="20"/>
                <w:szCs w:val="20"/>
              </w:rPr>
            </w:pPr>
            <w:r w:rsidRPr="00C81DDE">
              <w:rPr>
                <w:rFonts w:ascii="Times New Roman" w:hAnsi="Times New Roman"/>
                <w:sz w:val="20"/>
                <w:szCs w:val="20"/>
              </w:rPr>
              <w:t>(0.02)</w:t>
            </w: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(1.71)</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(2.80)</w:t>
            </w:r>
          </w:p>
        </w:tc>
        <w:tc>
          <w:tcPr>
            <w:tcW w:w="473" w:type="pct"/>
            <w:tcBorders>
              <w:top w:val="nil"/>
              <w:left w:val="nil"/>
              <w:bottom w:val="nil"/>
              <w:right w:val="nil"/>
            </w:tcBorders>
          </w:tcPr>
          <w:p w:rsidR="00A44F5C" w:rsidRPr="00C81DDE" w:rsidRDefault="00A44F5C" w:rsidP="00F15D90">
            <w:pPr>
              <w:pStyle w:val="PlainText"/>
              <w:jc w:val="center"/>
              <w:rPr>
                <w:rFonts w:ascii="Times New Roman" w:hAnsi="Times New Roman"/>
                <w:sz w:val="20"/>
                <w:szCs w:val="20"/>
              </w:rPr>
            </w:pPr>
            <w:r w:rsidRPr="00C81DDE">
              <w:rPr>
                <w:rFonts w:ascii="Times New Roman" w:hAnsi="Times New Roman"/>
                <w:sz w:val="20"/>
                <w:szCs w:val="20"/>
              </w:rPr>
              <w:t>(1.74)</w:t>
            </w: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Constant</w:t>
            </w:r>
          </w:p>
        </w:tc>
        <w:tc>
          <w:tcPr>
            <w:tcW w:w="420"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0.036***</w:t>
            </w:r>
          </w:p>
        </w:tc>
        <w:tc>
          <w:tcPr>
            <w:tcW w:w="420"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0.044***</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0.036***</w:t>
            </w:r>
          </w:p>
        </w:tc>
        <w:tc>
          <w:tcPr>
            <w:tcW w:w="423"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0.054***</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0.036***</w:t>
            </w:r>
          </w:p>
        </w:tc>
        <w:tc>
          <w:tcPr>
            <w:tcW w:w="434" w:type="pct"/>
            <w:tcBorders>
              <w:top w:val="nil"/>
              <w:left w:val="nil"/>
              <w:bottom w:val="nil"/>
              <w:right w:val="nil"/>
            </w:tcBorders>
          </w:tcPr>
          <w:p w:rsidR="00A44F5C" w:rsidRPr="00893519" w:rsidRDefault="00F15D90" w:rsidP="00F15D90">
            <w:pPr>
              <w:pStyle w:val="PlainText"/>
              <w:jc w:val="center"/>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0.039***</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(15.23)</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(8.60)</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(15.23)</w:t>
            </w: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(4.59)</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(15.23)</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(7.31)</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nil"/>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Observations</w:t>
            </w:r>
          </w:p>
        </w:tc>
        <w:tc>
          <w:tcPr>
            <w:tcW w:w="420" w:type="pct"/>
            <w:tcBorders>
              <w:top w:val="nil"/>
              <w:left w:val="nil"/>
              <w:bottom w:val="nil"/>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3</w:t>
            </w:r>
            <w:r w:rsidR="00A44F5C">
              <w:rPr>
                <w:rFonts w:ascii="Times New Roman" w:hAnsi="Times New Roman"/>
                <w:sz w:val="20"/>
                <w:szCs w:val="20"/>
              </w:rPr>
              <w:t>,</w:t>
            </w:r>
            <w:r w:rsidR="00A44F5C" w:rsidRPr="00893519">
              <w:rPr>
                <w:rFonts w:ascii="Times New Roman" w:hAnsi="Times New Roman"/>
                <w:sz w:val="20"/>
                <w:szCs w:val="20"/>
              </w:rPr>
              <w:t>539</w:t>
            </w:r>
          </w:p>
        </w:tc>
        <w:tc>
          <w:tcPr>
            <w:tcW w:w="420"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1</w:t>
            </w:r>
            <w:r>
              <w:rPr>
                <w:rFonts w:ascii="Times New Roman" w:hAnsi="Times New Roman"/>
                <w:sz w:val="20"/>
                <w:szCs w:val="20"/>
              </w:rPr>
              <w:t>,</w:t>
            </w:r>
            <w:r w:rsidRPr="00893519">
              <w:rPr>
                <w:rFonts w:ascii="Times New Roman" w:hAnsi="Times New Roman"/>
                <w:sz w:val="20"/>
                <w:szCs w:val="20"/>
              </w:rPr>
              <w:t>317</w:t>
            </w:r>
          </w:p>
        </w:tc>
        <w:tc>
          <w:tcPr>
            <w:tcW w:w="443"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nil"/>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3</w:t>
            </w:r>
            <w:r w:rsidR="00A44F5C">
              <w:rPr>
                <w:rFonts w:ascii="Times New Roman" w:hAnsi="Times New Roman"/>
                <w:sz w:val="20"/>
                <w:szCs w:val="20"/>
              </w:rPr>
              <w:t>,</w:t>
            </w:r>
            <w:r w:rsidR="00A44F5C" w:rsidRPr="00893519">
              <w:rPr>
                <w:rFonts w:ascii="Times New Roman" w:hAnsi="Times New Roman"/>
                <w:sz w:val="20"/>
                <w:szCs w:val="20"/>
              </w:rPr>
              <w:t>539</w:t>
            </w:r>
          </w:p>
        </w:tc>
        <w:tc>
          <w:tcPr>
            <w:tcW w:w="42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429</w:t>
            </w:r>
          </w:p>
        </w:tc>
        <w:tc>
          <w:tcPr>
            <w:tcW w:w="46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3</w:t>
            </w:r>
            <w:r>
              <w:rPr>
                <w:rFonts w:ascii="Times New Roman" w:hAnsi="Times New Roman"/>
                <w:sz w:val="20"/>
                <w:szCs w:val="20"/>
              </w:rPr>
              <w:t>,</w:t>
            </w:r>
            <w:r w:rsidRPr="00893519">
              <w:rPr>
                <w:rFonts w:ascii="Times New Roman" w:hAnsi="Times New Roman"/>
                <w:sz w:val="20"/>
                <w:szCs w:val="20"/>
              </w:rPr>
              <w:t>539</w:t>
            </w:r>
          </w:p>
        </w:tc>
        <w:tc>
          <w:tcPr>
            <w:tcW w:w="434"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888</w:t>
            </w:r>
          </w:p>
        </w:tc>
        <w:tc>
          <w:tcPr>
            <w:tcW w:w="473" w:type="pct"/>
            <w:tcBorders>
              <w:top w:val="nil"/>
              <w:left w:val="nil"/>
              <w:bottom w:val="nil"/>
              <w:right w:val="nil"/>
            </w:tcBorders>
          </w:tcPr>
          <w:p w:rsidR="00A44F5C" w:rsidRPr="00893519" w:rsidRDefault="00A44F5C" w:rsidP="00F15D90">
            <w:pPr>
              <w:pStyle w:val="PlainText"/>
              <w:jc w:val="center"/>
              <w:rPr>
                <w:rFonts w:ascii="Times New Roman" w:hAnsi="Times New Roman"/>
                <w:sz w:val="20"/>
                <w:szCs w:val="20"/>
              </w:rPr>
            </w:pPr>
          </w:p>
        </w:tc>
      </w:tr>
      <w:tr w:rsidR="00F15D90" w:rsidRPr="00893519" w:rsidTr="00F15D90">
        <w:trPr>
          <w:trHeight w:val="232"/>
          <w:jc w:val="center"/>
        </w:trPr>
        <w:tc>
          <w:tcPr>
            <w:tcW w:w="964" w:type="pct"/>
            <w:tcBorders>
              <w:top w:val="nil"/>
              <w:left w:val="nil"/>
              <w:bottom w:val="single" w:sz="12" w:space="0" w:color="auto"/>
              <w:right w:val="nil"/>
            </w:tcBorders>
          </w:tcPr>
          <w:p w:rsidR="00A44F5C" w:rsidRPr="00893519" w:rsidRDefault="00A44F5C" w:rsidP="00714358">
            <w:pPr>
              <w:pStyle w:val="PlainText"/>
              <w:rPr>
                <w:rFonts w:ascii="Times New Roman" w:hAnsi="Times New Roman"/>
                <w:sz w:val="20"/>
                <w:szCs w:val="20"/>
              </w:rPr>
            </w:pPr>
            <w:r w:rsidRPr="00893519">
              <w:rPr>
                <w:rFonts w:ascii="Times New Roman" w:hAnsi="Times New Roman"/>
                <w:sz w:val="20"/>
                <w:szCs w:val="20"/>
              </w:rPr>
              <w:t>Adjusted R</w:t>
            </w:r>
            <w:r w:rsidRPr="00893519">
              <w:rPr>
                <w:rFonts w:ascii="Times New Roman" w:hAnsi="Times New Roman"/>
                <w:sz w:val="20"/>
                <w:szCs w:val="20"/>
                <w:vertAlign w:val="superscript"/>
              </w:rPr>
              <w:t>2</w:t>
            </w:r>
          </w:p>
        </w:tc>
        <w:tc>
          <w:tcPr>
            <w:tcW w:w="420" w:type="pct"/>
            <w:tcBorders>
              <w:top w:val="nil"/>
              <w:left w:val="nil"/>
              <w:bottom w:val="single" w:sz="12" w:space="0" w:color="auto"/>
              <w:right w:val="nil"/>
            </w:tcBorders>
          </w:tcPr>
          <w:p w:rsidR="00A44F5C" w:rsidRPr="00893519" w:rsidRDefault="00F15D90" w:rsidP="00F15D90">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0.48</w:t>
            </w:r>
          </w:p>
        </w:tc>
        <w:tc>
          <w:tcPr>
            <w:tcW w:w="420"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0.47</w:t>
            </w:r>
          </w:p>
        </w:tc>
        <w:tc>
          <w:tcPr>
            <w:tcW w:w="443" w:type="pct"/>
            <w:tcBorders>
              <w:top w:val="nil"/>
              <w:left w:val="nil"/>
              <w:bottom w:val="single" w:sz="12" w:space="0" w:color="auto"/>
              <w:right w:val="nil"/>
            </w:tcBorders>
          </w:tcPr>
          <w:p w:rsidR="00A44F5C" w:rsidRPr="00893519" w:rsidRDefault="00A44F5C" w:rsidP="00714358">
            <w:pPr>
              <w:pStyle w:val="PlainText"/>
              <w:jc w:val="center"/>
              <w:rPr>
                <w:rFonts w:ascii="Times New Roman" w:hAnsi="Times New Roman"/>
                <w:sz w:val="20"/>
                <w:szCs w:val="20"/>
              </w:rPr>
            </w:pPr>
          </w:p>
        </w:tc>
        <w:tc>
          <w:tcPr>
            <w:tcW w:w="95" w:type="pct"/>
            <w:tcBorders>
              <w:top w:val="nil"/>
              <w:left w:val="nil"/>
              <w:bottom w:val="single" w:sz="12" w:space="0" w:color="auto"/>
              <w:right w:val="nil"/>
            </w:tcBorders>
          </w:tcPr>
          <w:p w:rsidR="00A44F5C" w:rsidRPr="00893519" w:rsidRDefault="00A44F5C" w:rsidP="00714358">
            <w:pPr>
              <w:pStyle w:val="PlainText"/>
              <w:jc w:val="center"/>
              <w:rPr>
                <w:rFonts w:ascii="Times New Roman" w:hAnsi="Times New Roman"/>
                <w:sz w:val="20"/>
                <w:szCs w:val="20"/>
              </w:rPr>
            </w:pPr>
          </w:p>
        </w:tc>
        <w:tc>
          <w:tcPr>
            <w:tcW w:w="423" w:type="pct"/>
            <w:tcBorders>
              <w:top w:val="nil"/>
              <w:left w:val="nil"/>
              <w:bottom w:val="single" w:sz="12" w:space="0" w:color="auto"/>
              <w:right w:val="nil"/>
            </w:tcBorders>
          </w:tcPr>
          <w:p w:rsidR="00A44F5C" w:rsidRPr="00893519" w:rsidRDefault="00164837" w:rsidP="00164837">
            <w:pPr>
              <w:pStyle w:val="PlainText"/>
              <w:rPr>
                <w:rFonts w:ascii="Times New Roman" w:hAnsi="Times New Roman"/>
                <w:sz w:val="20"/>
                <w:szCs w:val="20"/>
              </w:rPr>
            </w:pPr>
            <w:r>
              <w:rPr>
                <w:rFonts w:ascii="Times New Roman" w:hAnsi="Times New Roman"/>
                <w:sz w:val="20"/>
                <w:szCs w:val="20"/>
              </w:rPr>
              <w:t xml:space="preserve">   </w:t>
            </w:r>
            <w:r w:rsidR="00A44F5C" w:rsidRPr="00893519">
              <w:rPr>
                <w:rFonts w:ascii="Times New Roman" w:hAnsi="Times New Roman"/>
                <w:sz w:val="20"/>
                <w:szCs w:val="20"/>
              </w:rPr>
              <w:t>0.48</w:t>
            </w:r>
          </w:p>
        </w:tc>
        <w:tc>
          <w:tcPr>
            <w:tcW w:w="423"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0.36</w:t>
            </w:r>
          </w:p>
        </w:tc>
        <w:tc>
          <w:tcPr>
            <w:tcW w:w="464"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p>
        </w:tc>
        <w:tc>
          <w:tcPr>
            <w:tcW w:w="95"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p>
        </w:tc>
        <w:tc>
          <w:tcPr>
            <w:tcW w:w="433"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0.48</w:t>
            </w:r>
          </w:p>
        </w:tc>
        <w:tc>
          <w:tcPr>
            <w:tcW w:w="434"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r w:rsidRPr="00893519">
              <w:rPr>
                <w:rFonts w:ascii="Times New Roman" w:hAnsi="Times New Roman"/>
                <w:sz w:val="20"/>
                <w:szCs w:val="20"/>
              </w:rPr>
              <w:t>0.53</w:t>
            </w:r>
          </w:p>
        </w:tc>
        <w:tc>
          <w:tcPr>
            <w:tcW w:w="473" w:type="pct"/>
            <w:tcBorders>
              <w:top w:val="nil"/>
              <w:left w:val="nil"/>
              <w:bottom w:val="single" w:sz="12" w:space="0" w:color="auto"/>
              <w:right w:val="nil"/>
            </w:tcBorders>
          </w:tcPr>
          <w:p w:rsidR="00A44F5C" w:rsidRPr="00893519" w:rsidRDefault="00A44F5C" w:rsidP="00F15D90">
            <w:pPr>
              <w:pStyle w:val="PlainText"/>
              <w:jc w:val="center"/>
              <w:rPr>
                <w:rFonts w:ascii="Times New Roman" w:hAnsi="Times New Roman"/>
                <w:sz w:val="20"/>
                <w:szCs w:val="20"/>
              </w:rPr>
            </w:pPr>
          </w:p>
        </w:tc>
      </w:tr>
    </w:tbl>
    <w:p w:rsidR="00A44F5C" w:rsidRPr="00FD01F3" w:rsidRDefault="00A44F5C" w:rsidP="00A44F5C">
      <w:pPr>
        <w:rPr>
          <w:color w:val="000000"/>
        </w:rPr>
      </w:pPr>
      <w:r w:rsidRPr="00FD01F3">
        <w:rPr>
          <w:color w:val="000000"/>
        </w:rPr>
        <w:t>(</w:t>
      </w:r>
      <w:proofErr w:type="gramStart"/>
      <w:r w:rsidRPr="00FD01F3">
        <w:rPr>
          <w:color w:val="000000"/>
        </w:rPr>
        <w:t>continues</w:t>
      </w:r>
      <w:proofErr w:type="gramEnd"/>
      <w:r w:rsidRPr="00FD01F3">
        <w:rPr>
          <w:color w:val="000000"/>
        </w:rPr>
        <w:t xml:space="preserve"> on next page)</w:t>
      </w:r>
    </w:p>
    <w:p w:rsidR="00A44F5C" w:rsidRDefault="00A44F5C" w:rsidP="00A44F5C">
      <w:pPr>
        <w:jc w:val="center"/>
        <w:rPr>
          <w:b/>
          <w:color w:val="000000"/>
        </w:rPr>
      </w:pPr>
    </w:p>
    <w:p w:rsidR="00A44F5C" w:rsidRDefault="00A44F5C" w:rsidP="00A44F5C">
      <w:pPr>
        <w:jc w:val="center"/>
        <w:rPr>
          <w:b/>
          <w:color w:val="000000"/>
        </w:rPr>
      </w:pPr>
    </w:p>
    <w:p w:rsidR="00A44F5C" w:rsidRDefault="00A44F5C" w:rsidP="00A44F5C">
      <w:pPr>
        <w:jc w:val="center"/>
        <w:rPr>
          <w:b/>
          <w:color w:val="000000"/>
        </w:rPr>
      </w:pPr>
    </w:p>
    <w:p w:rsidR="00C9694E" w:rsidRDefault="00C9694E" w:rsidP="00A44F5C">
      <w:pPr>
        <w:rPr>
          <w:b/>
          <w:color w:val="000000"/>
        </w:rPr>
        <w:sectPr w:rsidR="00C9694E" w:rsidSect="002003A4">
          <w:pgSz w:w="15840" w:h="12240" w:orient="landscape"/>
          <w:pgMar w:top="1440" w:right="1440" w:bottom="1440" w:left="1440" w:header="720" w:footer="720" w:gutter="0"/>
          <w:cols w:space="720"/>
          <w:docGrid w:linePitch="360"/>
        </w:sectPr>
      </w:pPr>
    </w:p>
    <w:p w:rsidR="00A44F5C" w:rsidRDefault="00A44F5C" w:rsidP="00A44F5C">
      <w:pPr>
        <w:rPr>
          <w:b/>
          <w:color w:val="000000"/>
        </w:rPr>
      </w:pPr>
      <w:r>
        <w:rPr>
          <w:b/>
          <w:color w:val="000000"/>
        </w:rPr>
        <w:lastRenderedPageBreak/>
        <w:t>Table 6 (continued)</w:t>
      </w:r>
    </w:p>
    <w:p w:rsidR="00A44F5C" w:rsidRDefault="00A44F5C" w:rsidP="00A44F5C">
      <w:pPr>
        <w:rPr>
          <w:color w:val="000000"/>
        </w:rPr>
      </w:pPr>
      <w:r w:rsidRPr="00B54A73">
        <w:rPr>
          <w:color w:val="000000"/>
        </w:rPr>
        <w:t>The table includes results from the following OLS regression:</w:t>
      </w:r>
    </w:p>
    <w:p w:rsidR="00C9694E" w:rsidRPr="00B54A73" w:rsidRDefault="00C9694E" w:rsidP="00A44F5C">
      <w:pPr>
        <w:rPr>
          <w:color w:val="000000"/>
        </w:rPr>
      </w:pPr>
    </w:p>
    <w:p w:rsidR="00A44F5C" w:rsidRDefault="00A44F5C" w:rsidP="00A44F5C">
      <w:pPr>
        <w:rPr>
          <w:color w:val="000000"/>
        </w:rPr>
      </w:pPr>
      <w:proofErr w:type="spellStart"/>
      <w:r>
        <w:rPr>
          <w:color w:val="000000"/>
        </w:rPr>
        <w:t>NI_Assets</w:t>
      </w:r>
      <w:proofErr w:type="spellEnd"/>
      <w:r w:rsidRPr="00B54A73">
        <w:rPr>
          <w:color w:val="000000"/>
        </w:rPr>
        <w:t xml:space="preserve"> = </w:t>
      </w:r>
      <w:r w:rsidRPr="00B54A73">
        <w:rPr>
          <w:szCs w:val="20"/>
        </w:rPr>
        <w:t>β</w:t>
      </w:r>
      <w:r w:rsidRPr="00B54A73">
        <w:rPr>
          <w:szCs w:val="20"/>
          <w:vertAlign w:val="subscript"/>
        </w:rPr>
        <w:t>0</w:t>
      </w:r>
      <w:r w:rsidRPr="00B54A73">
        <w:rPr>
          <w:color w:val="000000"/>
        </w:rPr>
        <w:t xml:space="preserve">Return + </w:t>
      </w:r>
      <w:r w:rsidRPr="00B54A73">
        <w:rPr>
          <w:szCs w:val="20"/>
        </w:rPr>
        <w:t>β</w:t>
      </w:r>
      <w:r w:rsidRPr="00B54A73">
        <w:rPr>
          <w:szCs w:val="20"/>
          <w:vertAlign w:val="subscript"/>
        </w:rPr>
        <w:t>1</w:t>
      </w:r>
      <w:r w:rsidRPr="00B54A73">
        <w:rPr>
          <w:color w:val="000000"/>
        </w:rPr>
        <w:t xml:space="preserve">NegRet + </w:t>
      </w:r>
      <w:r w:rsidRPr="00B54A73">
        <w:rPr>
          <w:szCs w:val="20"/>
        </w:rPr>
        <w:t>β</w:t>
      </w:r>
      <w:r w:rsidRPr="00B54A73">
        <w:rPr>
          <w:szCs w:val="20"/>
          <w:vertAlign w:val="subscript"/>
        </w:rPr>
        <w:t>2</w:t>
      </w:r>
      <w:r w:rsidRPr="00B54A73">
        <w:rPr>
          <w:color w:val="000000"/>
        </w:rPr>
        <w:t>Return*</w:t>
      </w:r>
      <w:proofErr w:type="spellStart"/>
      <w:r w:rsidRPr="00B54A73">
        <w:rPr>
          <w:color w:val="000000"/>
        </w:rPr>
        <w:t>NegRet</w:t>
      </w:r>
      <w:proofErr w:type="spellEnd"/>
      <w:r w:rsidRPr="00B54A73">
        <w:rPr>
          <w:color w:val="000000"/>
        </w:rPr>
        <w:t xml:space="preserve"> + </w:t>
      </w:r>
      <w:r w:rsidRPr="00B54A73">
        <w:rPr>
          <w:szCs w:val="20"/>
        </w:rPr>
        <w:t>β</w:t>
      </w:r>
      <w:r w:rsidRPr="00B54A73">
        <w:rPr>
          <w:szCs w:val="20"/>
          <w:vertAlign w:val="subscript"/>
        </w:rPr>
        <w:t>3</w:t>
      </w:r>
      <w:r w:rsidRPr="003B3FDC">
        <w:rPr>
          <w:color w:val="000000"/>
        </w:rPr>
        <w:t>Post</w:t>
      </w:r>
      <w:r>
        <w:rPr>
          <w:color w:val="000000"/>
        </w:rPr>
        <w:t xml:space="preserve"> + </w:t>
      </w:r>
      <w:r w:rsidRPr="00B54A73">
        <w:rPr>
          <w:szCs w:val="20"/>
        </w:rPr>
        <w:t>β</w:t>
      </w:r>
      <w:r>
        <w:rPr>
          <w:szCs w:val="20"/>
          <w:vertAlign w:val="subscript"/>
        </w:rPr>
        <w:t>4</w:t>
      </w:r>
      <w:r w:rsidRPr="00B54A73">
        <w:rPr>
          <w:color w:val="000000"/>
        </w:rPr>
        <w:t>Post</w:t>
      </w:r>
      <w:r>
        <w:rPr>
          <w:color w:val="000000"/>
        </w:rPr>
        <w:t>-Merger</w:t>
      </w:r>
      <w:r w:rsidRPr="00B54A73">
        <w:rPr>
          <w:color w:val="000000"/>
        </w:rPr>
        <w:t xml:space="preserve">*Return + </w:t>
      </w:r>
      <w:r w:rsidRPr="00B54A73">
        <w:rPr>
          <w:szCs w:val="20"/>
        </w:rPr>
        <w:t>β</w:t>
      </w:r>
      <w:r>
        <w:rPr>
          <w:szCs w:val="20"/>
          <w:vertAlign w:val="subscript"/>
        </w:rPr>
        <w:t>5</w:t>
      </w:r>
      <w:r w:rsidRPr="00B54A73">
        <w:rPr>
          <w:color w:val="000000"/>
        </w:rPr>
        <w:t>Post</w:t>
      </w:r>
      <w:r>
        <w:rPr>
          <w:color w:val="000000"/>
        </w:rPr>
        <w:t>-Merger</w:t>
      </w:r>
      <w:r w:rsidRPr="00B54A73">
        <w:rPr>
          <w:color w:val="000000"/>
        </w:rPr>
        <w:t>*</w:t>
      </w:r>
      <w:proofErr w:type="spellStart"/>
      <w:r w:rsidRPr="00B54A73">
        <w:rPr>
          <w:color w:val="000000"/>
        </w:rPr>
        <w:t>NegRet</w:t>
      </w:r>
      <w:proofErr w:type="spellEnd"/>
      <w:r w:rsidRPr="00B54A73">
        <w:rPr>
          <w:color w:val="000000"/>
        </w:rPr>
        <w:t xml:space="preserve"> </w:t>
      </w:r>
    </w:p>
    <w:p w:rsidR="00A44F5C" w:rsidRDefault="00A44F5C" w:rsidP="00A44F5C">
      <w:pPr>
        <w:rPr>
          <w:color w:val="000000"/>
        </w:rPr>
      </w:pPr>
      <w:r>
        <w:rPr>
          <w:color w:val="000000"/>
        </w:rPr>
        <w:tab/>
      </w:r>
      <w:r w:rsidRPr="00B54A73">
        <w:rPr>
          <w:color w:val="000000"/>
        </w:rPr>
        <w:t xml:space="preserve">+ </w:t>
      </w:r>
      <w:r w:rsidRPr="00B54A73">
        <w:rPr>
          <w:szCs w:val="20"/>
        </w:rPr>
        <w:t>β</w:t>
      </w:r>
      <w:r>
        <w:rPr>
          <w:szCs w:val="20"/>
          <w:vertAlign w:val="subscript"/>
        </w:rPr>
        <w:t>6</w:t>
      </w:r>
      <w:r w:rsidRPr="00B54A73">
        <w:rPr>
          <w:color w:val="000000"/>
        </w:rPr>
        <w:t>Post</w:t>
      </w:r>
      <w:r>
        <w:rPr>
          <w:color w:val="000000"/>
        </w:rPr>
        <w:t>-Merger</w:t>
      </w:r>
      <w:r w:rsidRPr="00B54A73">
        <w:rPr>
          <w:color w:val="000000"/>
        </w:rPr>
        <w:t>*Return*</w:t>
      </w:r>
      <w:proofErr w:type="spellStart"/>
      <w:r w:rsidRPr="00B54A73">
        <w:rPr>
          <w:color w:val="000000"/>
        </w:rPr>
        <w:t>Neg</w:t>
      </w:r>
      <w:r>
        <w:rPr>
          <w:color w:val="000000"/>
        </w:rPr>
        <w:t>R</w:t>
      </w:r>
      <w:r w:rsidRPr="00B54A73">
        <w:rPr>
          <w:color w:val="000000"/>
        </w:rPr>
        <w:t>et</w:t>
      </w:r>
      <w:proofErr w:type="spellEnd"/>
      <w:r w:rsidRPr="00B54A73">
        <w:rPr>
          <w:color w:val="000000"/>
        </w:rPr>
        <w:t xml:space="preserve"> + ε</w:t>
      </w:r>
    </w:p>
    <w:p w:rsidR="00A44F5C" w:rsidRDefault="00A44F5C" w:rsidP="00A44F5C">
      <w:pPr>
        <w:rPr>
          <w:color w:val="000000"/>
        </w:rPr>
      </w:pPr>
      <w:r w:rsidRPr="00B54A73">
        <w:rPr>
          <w:color w:val="000000"/>
        </w:rPr>
        <w:t xml:space="preserve"> </w:t>
      </w:r>
    </w:p>
    <w:p w:rsidR="00A44F5C" w:rsidRPr="00B54A73" w:rsidRDefault="00A44F5C" w:rsidP="00A44F5C">
      <w:pPr>
        <w:rPr>
          <w:color w:val="000000"/>
        </w:rPr>
      </w:pPr>
      <w:r>
        <w:rPr>
          <w:color w:val="000000"/>
        </w:rPr>
        <w:t>Variables are defined in table 2</w:t>
      </w:r>
      <w:r w:rsidR="0099507A">
        <w:rPr>
          <w:color w:val="000000"/>
        </w:rPr>
        <w:t>, and the regressions include firm fixed effects.</w:t>
      </w:r>
    </w:p>
    <w:p w:rsidR="00A44F5C" w:rsidRDefault="00A44F5C" w:rsidP="00A44F5C">
      <w:pPr>
        <w:rPr>
          <w:b/>
          <w:color w:val="000000"/>
        </w:rPr>
      </w:pPr>
    </w:p>
    <w:p w:rsidR="00A44F5C" w:rsidRPr="00B54A73" w:rsidRDefault="005C5E7A" w:rsidP="00D7405A">
      <w:pPr>
        <w:jc w:val="both"/>
      </w:pPr>
      <w:r>
        <w:rPr>
          <w:color w:val="000000"/>
        </w:rPr>
        <w:t>The table</w:t>
      </w:r>
      <w:r w:rsidR="00A44F5C" w:rsidRPr="00B54A73">
        <w:rPr>
          <w:color w:val="000000"/>
        </w:rPr>
        <w:t xml:space="preserve"> also includes a comparison of the coefficient of interest, i.e. the coefficient on the interaction Post</w:t>
      </w:r>
      <w:r w:rsidR="00A44F5C">
        <w:rPr>
          <w:color w:val="000000"/>
        </w:rPr>
        <w:t>-Merger</w:t>
      </w:r>
      <w:r w:rsidR="00A44F5C" w:rsidRPr="00B54A73">
        <w:rPr>
          <w:color w:val="000000"/>
        </w:rPr>
        <w:t>*Return*</w:t>
      </w:r>
      <w:proofErr w:type="spellStart"/>
      <w:r w:rsidR="00A44F5C" w:rsidRPr="00B54A73">
        <w:rPr>
          <w:color w:val="000000"/>
        </w:rPr>
        <w:t>NegRet</w:t>
      </w:r>
      <w:proofErr w:type="spellEnd"/>
      <w:r w:rsidR="00A44F5C" w:rsidRPr="00B54A73">
        <w:rPr>
          <w:color w:val="000000"/>
        </w:rPr>
        <w:t>, between the samples of segment and non-segment firms</w:t>
      </w:r>
      <w:r w:rsidR="00A44F5C">
        <w:rPr>
          <w:color w:val="000000"/>
        </w:rPr>
        <w:t xml:space="preserve"> (column 3)</w:t>
      </w:r>
      <w:r>
        <w:rPr>
          <w:color w:val="000000"/>
        </w:rPr>
        <w:t>, non-segment and</w:t>
      </w:r>
      <w:r w:rsidR="00A44F5C" w:rsidRPr="00B54A73">
        <w:rPr>
          <w:color w:val="000000"/>
        </w:rPr>
        <w:t xml:space="preserve"> </w:t>
      </w:r>
      <w:r w:rsidR="00A44F5C">
        <w:rPr>
          <w:color w:val="000000"/>
        </w:rPr>
        <w:t>low</w:t>
      </w:r>
      <w:r w:rsidR="00A44F5C" w:rsidRPr="00B54A73">
        <w:rPr>
          <w:color w:val="000000"/>
        </w:rPr>
        <w:t>-compli</w:t>
      </w:r>
      <w:r w:rsidR="00A44F5C">
        <w:rPr>
          <w:color w:val="000000"/>
        </w:rPr>
        <w:t>ance</w:t>
      </w:r>
      <w:r w:rsidR="00A44F5C" w:rsidRPr="00B54A73">
        <w:rPr>
          <w:color w:val="000000"/>
        </w:rPr>
        <w:t xml:space="preserve"> </w:t>
      </w:r>
      <w:r>
        <w:rPr>
          <w:color w:val="000000"/>
        </w:rPr>
        <w:t xml:space="preserve">segment </w:t>
      </w:r>
      <w:r w:rsidR="00A44F5C" w:rsidRPr="00B54A73">
        <w:rPr>
          <w:color w:val="000000"/>
        </w:rPr>
        <w:t>firms</w:t>
      </w:r>
      <w:r w:rsidR="00A44F5C">
        <w:rPr>
          <w:color w:val="000000"/>
        </w:rPr>
        <w:t xml:space="preserve"> (column 6)</w:t>
      </w:r>
      <w:r w:rsidR="00A44F5C" w:rsidRPr="00B54A73">
        <w:rPr>
          <w:color w:val="000000"/>
        </w:rPr>
        <w:t xml:space="preserve">, </w:t>
      </w:r>
      <w:r w:rsidR="00A44F5C">
        <w:rPr>
          <w:color w:val="000000"/>
        </w:rPr>
        <w:t xml:space="preserve">and </w:t>
      </w:r>
      <w:r>
        <w:rPr>
          <w:color w:val="000000"/>
        </w:rPr>
        <w:t>non-segment and</w:t>
      </w:r>
      <w:r w:rsidR="00A44F5C" w:rsidRPr="00B54A73">
        <w:rPr>
          <w:color w:val="000000"/>
        </w:rPr>
        <w:t xml:space="preserve"> </w:t>
      </w:r>
      <w:r w:rsidR="00A44F5C">
        <w:rPr>
          <w:color w:val="000000"/>
        </w:rPr>
        <w:t>high</w:t>
      </w:r>
      <w:r w:rsidR="00A44F5C" w:rsidRPr="00B54A73">
        <w:rPr>
          <w:color w:val="000000"/>
        </w:rPr>
        <w:t>-compli</w:t>
      </w:r>
      <w:r w:rsidR="00A44F5C">
        <w:rPr>
          <w:color w:val="000000"/>
        </w:rPr>
        <w:t>ance</w:t>
      </w:r>
      <w:r w:rsidR="00A44F5C" w:rsidRPr="00B54A73">
        <w:rPr>
          <w:color w:val="000000"/>
        </w:rPr>
        <w:t xml:space="preserve"> </w:t>
      </w:r>
      <w:r>
        <w:rPr>
          <w:color w:val="000000"/>
        </w:rPr>
        <w:t xml:space="preserve">segment </w:t>
      </w:r>
      <w:r w:rsidR="00A44F5C" w:rsidRPr="00B54A73">
        <w:rPr>
          <w:color w:val="000000"/>
        </w:rPr>
        <w:t>firms</w:t>
      </w:r>
      <w:r w:rsidR="00A44F5C">
        <w:rPr>
          <w:color w:val="000000"/>
        </w:rPr>
        <w:t xml:space="preserve"> (column 9)</w:t>
      </w:r>
      <w:r w:rsidR="00A44F5C" w:rsidRPr="00B54A73">
        <w:rPr>
          <w:color w:val="000000"/>
        </w:rPr>
        <w:t>.</w:t>
      </w:r>
      <w:r>
        <w:rPr>
          <w:color w:val="000000"/>
        </w:rPr>
        <w:t xml:space="preserve">  Statistical tests on the differences in the coefficients on the triple interaction term are t-tests computed by running stacked regressions in which the first of each pair of models is run after adding an interaction between each term in the model and Segment (column 2), Low-Compliance Segment (column 5), or High-Compliance Segment (column 8)</w:t>
      </w:r>
      <w:r w:rsidR="00C81DDE">
        <w:rPr>
          <w:color w:val="000000"/>
        </w:rPr>
        <w:t xml:space="preserve"> designations</w:t>
      </w:r>
      <w:r>
        <w:rPr>
          <w:color w:val="000000"/>
        </w:rPr>
        <w:t xml:space="preserve">.  </w:t>
      </w:r>
      <w:r w:rsidR="00A44F5C" w:rsidRPr="00B54A73">
        <w:rPr>
          <w:color w:val="000000"/>
        </w:rPr>
        <w:t xml:space="preserve"> </w:t>
      </w:r>
      <w:r w:rsidR="00A44F5C" w:rsidRPr="00B54A73">
        <w:t xml:space="preserve">*** indicates statistical </w:t>
      </w:r>
      <w:r w:rsidR="00137237" w:rsidRPr="00B54A73">
        <w:t>significan</w:t>
      </w:r>
      <w:r w:rsidR="00137237">
        <w:t>ce</w:t>
      </w:r>
      <w:r w:rsidR="00137237" w:rsidRPr="00B54A73">
        <w:t xml:space="preserve"> </w:t>
      </w:r>
      <w:r w:rsidR="00A44F5C" w:rsidRPr="00B54A73">
        <w:t xml:space="preserve">at the 0.01 level, ** indicates statistical significance at the 0.05 level, and * indicates statistical </w:t>
      </w:r>
      <w:r w:rsidR="00137237" w:rsidRPr="00B54A73">
        <w:t>significan</w:t>
      </w:r>
      <w:r w:rsidR="00137237">
        <w:t>ce</w:t>
      </w:r>
      <w:r w:rsidR="00137237" w:rsidRPr="00B54A73">
        <w:t xml:space="preserve"> </w:t>
      </w:r>
      <w:r w:rsidR="00A44F5C" w:rsidRPr="00B54A73">
        <w:t>at the 0.10 level (two-tailed test).</w:t>
      </w:r>
    </w:p>
    <w:p w:rsidR="00A44F5C" w:rsidRDefault="00A44F5C" w:rsidP="00A44F5C">
      <w:pPr>
        <w:rPr>
          <w:b/>
          <w:color w:val="000000"/>
        </w:rPr>
        <w:sectPr w:rsidR="00A44F5C" w:rsidSect="00714358">
          <w:pgSz w:w="15840" w:h="12240" w:orient="landscape"/>
          <w:pgMar w:top="1440" w:right="1440" w:bottom="1440" w:left="1440" w:header="720" w:footer="720" w:gutter="0"/>
          <w:cols w:space="720"/>
          <w:docGrid w:linePitch="360"/>
        </w:sectPr>
      </w:pPr>
    </w:p>
    <w:p w:rsidR="00A44F5C" w:rsidRDefault="00A44F5C" w:rsidP="00A44F5C">
      <w:pPr>
        <w:jc w:val="center"/>
        <w:rPr>
          <w:b/>
          <w:color w:val="000000"/>
        </w:rPr>
      </w:pPr>
      <w:proofErr w:type="gramStart"/>
      <w:r>
        <w:rPr>
          <w:b/>
          <w:color w:val="000000"/>
        </w:rPr>
        <w:lastRenderedPageBreak/>
        <w:t>T</w:t>
      </w:r>
      <w:r w:rsidRPr="00A40E27">
        <w:rPr>
          <w:b/>
          <w:color w:val="000000"/>
        </w:rPr>
        <w:t>able 7.</w:t>
      </w:r>
      <w:proofErr w:type="gramEnd"/>
      <w:r w:rsidRPr="00A40E27">
        <w:rPr>
          <w:b/>
          <w:color w:val="000000"/>
        </w:rPr>
        <w:t xml:space="preserve"> Regression results for analyses using other accounting quality proxies </w:t>
      </w:r>
    </w:p>
    <w:tbl>
      <w:tblPr>
        <w:tblStyle w:val="TableGrid"/>
        <w:tblW w:w="5000" w:type="pct"/>
        <w:jc w:val="center"/>
        <w:tblLook w:val="04A0" w:firstRow="1" w:lastRow="0" w:firstColumn="1" w:lastColumn="0" w:noHBand="0" w:noVBand="1"/>
      </w:tblPr>
      <w:tblGrid>
        <w:gridCol w:w="2394"/>
        <w:gridCol w:w="2394"/>
        <w:gridCol w:w="2394"/>
        <w:gridCol w:w="2394"/>
      </w:tblGrid>
      <w:tr w:rsidR="00A44F5C" w:rsidRPr="007C1A01" w:rsidTr="002003A4">
        <w:trPr>
          <w:jc w:val="center"/>
        </w:trPr>
        <w:tc>
          <w:tcPr>
            <w:tcW w:w="1250" w:type="pct"/>
            <w:tcBorders>
              <w:top w:val="single" w:sz="12" w:space="0" w:color="auto"/>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b/>
                <w:sz w:val="24"/>
                <w:szCs w:val="24"/>
              </w:rPr>
            </w:pPr>
            <w:r w:rsidRPr="007C1A01">
              <w:rPr>
                <w:rFonts w:ascii="Times New Roman" w:hAnsi="Times New Roman"/>
                <w:b/>
                <w:sz w:val="24"/>
                <w:szCs w:val="24"/>
              </w:rPr>
              <w:t>(1)</w:t>
            </w: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b/>
                <w:sz w:val="24"/>
                <w:szCs w:val="24"/>
              </w:rPr>
            </w:pPr>
            <w:r w:rsidRPr="007C1A01">
              <w:rPr>
                <w:rFonts w:ascii="Times New Roman" w:hAnsi="Times New Roman"/>
                <w:b/>
                <w:sz w:val="24"/>
                <w:szCs w:val="24"/>
              </w:rPr>
              <w:t>(2)</w:t>
            </w: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b/>
                <w:sz w:val="24"/>
                <w:szCs w:val="24"/>
              </w:rPr>
            </w:pPr>
            <w:r w:rsidRPr="007C1A01">
              <w:rPr>
                <w:rFonts w:ascii="Times New Roman" w:hAnsi="Times New Roman"/>
                <w:b/>
                <w:sz w:val="24"/>
                <w:szCs w:val="24"/>
              </w:rPr>
              <w:t>(3)</w:t>
            </w:r>
          </w:p>
        </w:tc>
      </w:tr>
      <w:tr w:rsidR="00A44F5C" w:rsidRPr="007C1A01" w:rsidTr="002003A4">
        <w:trPr>
          <w:jc w:val="center"/>
        </w:trPr>
        <w:tc>
          <w:tcPr>
            <w:tcW w:w="1250" w:type="pct"/>
            <w:tcBorders>
              <w:top w:val="nil"/>
              <w:left w:val="nil"/>
              <w:bottom w:val="single" w:sz="12" w:space="0" w:color="auto"/>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b/>
                <w:sz w:val="24"/>
                <w:szCs w:val="24"/>
              </w:rPr>
            </w:pPr>
            <w:proofErr w:type="spellStart"/>
            <w:r>
              <w:rPr>
                <w:rFonts w:ascii="Times New Roman" w:hAnsi="Times New Roman"/>
                <w:b/>
                <w:sz w:val="24"/>
                <w:szCs w:val="24"/>
              </w:rPr>
              <w:t>NI_A</w:t>
            </w:r>
            <w:r w:rsidRPr="007C1A01">
              <w:rPr>
                <w:rFonts w:ascii="Times New Roman" w:hAnsi="Times New Roman"/>
                <w:b/>
                <w:sz w:val="24"/>
                <w:szCs w:val="24"/>
              </w:rPr>
              <w:t>ssets</w:t>
            </w:r>
            <w:proofErr w:type="spellEnd"/>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b/>
                <w:sz w:val="24"/>
                <w:szCs w:val="24"/>
              </w:rPr>
            </w:pPr>
            <w:proofErr w:type="spellStart"/>
            <w:r>
              <w:rPr>
                <w:rFonts w:ascii="Times New Roman" w:hAnsi="Times New Roman"/>
                <w:b/>
                <w:sz w:val="24"/>
                <w:szCs w:val="24"/>
              </w:rPr>
              <w:t>OCF</w:t>
            </w:r>
            <w:r w:rsidRPr="007C1A01">
              <w:rPr>
                <w:rFonts w:ascii="Times New Roman" w:hAnsi="Times New Roman"/>
                <w:b/>
                <w:sz w:val="24"/>
                <w:szCs w:val="24"/>
              </w:rPr>
              <w:t>_</w:t>
            </w:r>
            <w:r>
              <w:rPr>
                <w:rFonts w:ascii="Times New Roman" w:hAnsi="Times New Roman"/>
                <w:b/>
                <w:sz w:val="24"/>
                <w:szCs w:val="24"/>
              </w:rPr>
              <w:t>A</w:t>
            </w:r>
            <w:r w:rsidRPr="007C1A01">
              <w:rPr>
                <w:rFonts w:ascii="Times New Roman" w:hAnsi="Times New Roman"/>
                <w:b/>
                <w:sz w:val="24"/>
                <w:szCs w:val="24"/>
              </w:rPr>
              <w:t>ssets</w:t>
            </w:r>
            <w:proofErr w:type="spellEnd"/>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b/>
                <w:sz w:val="24"/>
                <w:szCs w:val="24"/>
              </w:rPr>
            </w:pPr>
            <w:proofErr w:type="spellStart"/>
            <w:r>
              <w:rPr>
                <w:rFonts w:ascii="Times New Roman" w:hAnsi="Times New Roman"/>
                <w:b/>
                <w:sz w:val="24"/>
                <w:szCs w:val="24"/>
              </w:rPr>
              <w:t>A</w:t>
            </w:r>
            <w:r w:rsidRPr="007C1A01">
              <w:rPr>
                <w:rFonts w:ascii="Times New Roman" w:hAnsi="Times New Roman"/>
                <w:b/>
                <w:sz w:val="24"/>
                <w:szCs w:val="24"/>
              </w:rPr>
              <w:t>ccrual_</w:t>
            </w:r>
            <w:r>
              <w:rPr>
                <w:rFonts w:ascii="Times New Roman" w:hAnsi="Times New Roman"/>
                <w:b/>
                <w:sz w:val="24"/>
                <w:szCs w:val="24"/>
              </w:rPr>
              <w:t>A</w:t>
            </w:r>
            <w:r w:rsidRPr="007C1A01">
              <w:rPr>
                <w:rFonts w:ascii="Times New Roman" w:hAnsi="Times New Roman"/>
                <w:b/>
                <w:sz w:val="24"/>
                <w:szCs w:val="24"/>
              </w:rPr>
              <w:t>ssets</w:t>
            </w:r>
            <w:proofErr w:type="spellEnd"/>
          </w:p>
        </w:tc>
      </w:tr>
      <w:tr w:rsidR="00A44F5C" w:rsidRPr="007C1A01" w:rsidTr="002003A4">
        <w:trPr>
          <w:jc w:val="center"/>
        </w:trPr>
        <w:tc>
          <w:tcPr>
            <w:tcW w:w="1250" w:type="pct"/>
            <w:tcBorders>
              <w:top w:val="single" w:sz="12" w:space="0" w:color="auto"/>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Size</w:t>
            </w: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0.010***</w:t>
            </w: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0.008***</w:t>
            </w:r>
          </w:p>
        </w:tc>
        <w:tc>
          <w:tcPr>
            <w:tcW w:w="1250" w:type="pct"/>
            <w:tcBorders>
              <w:top w:val="single" w:sz="12" w:space="0" w:color="auto"/>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0.005***</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(11.74)</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(7.89)</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(5.25)</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Sales G</w:t>
            </w:r>
            <w:r w:rsidRPr="007C1A01">
              <w:rPr>
                <w:rFonts w:ascii="Times New Roman" w:hAnsi="Times New Roman"/>
                <w:sz w:val="24"/>
                <w:szCs w:val="24"/>
              </w:rPr>
              <w:t>rowth</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0.033***</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-0.041***</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0.058***</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(5.56)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(6.00)</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(8.67)</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Leverage</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-0.121***</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-0.115***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-0.050***</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(9.85)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(8.27)</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(4.75)</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T</w:t>
            </w:r>
            <w:r w:rsidRPr="007C1A01">
              <w:rPr>
                <w:rFonts w:ascii="Times New Roman" w:hAnsi="Times New Roman"/>
                <w:sz w:val="24"/>
                <w:szCs w:val="24"/>
              </w:rPr>
              <w:t>urn</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0.017***</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0.025***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0.001</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(4.90)</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(5.85)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(0.40)</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roofErr w:type="spellStart"/>
            <w:r>
              <w:rPr>
                <w:rFonts w:ascii="Times New Roman" w:hAnsi="Times New Roman"/>
                <w:sz w:val="24"/>
                <w:szCs w:val="24"/>
              </w:rPr>
              <w:t>OCF</w:t>
            </w:r>
            <w:r w:rsidRPr="007C1A01">
              <w:rPr>
                <w:rFonts w:ascii="Times New Roman" w:hAnsi="Times New Roman"/>
                <w:sz w:val="24"/>
                <w:szCs w:val="24"/>
              </w:rPr>
              <w:t>_</w:t>
            </w:r>
            <w:r>
              <w:rPr>
                <w:rFonts w:ascii="Times New Roman" w:hAnsi="Times New Roman"/>
                <w:sz w:val="24"/>
                <w:szCs w:val="24"/>
              </w:rPr>
              <w:t>A</w:t>
            </w:r>
            <w:r w:rsidRPr="007C1A01">
              <w:rPr>
                <w:rFonts w:ascii="Times New Roman" w:hAnsi="Times New Roman"/>
                <w:sz w:val="24"/>
                <w:szCs w:val="24"/>
              </w:rPr>
              <w:t>ssets</w:t>
            </w:r>
            <w:proofErr w:type="spellEnd"/>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0.376***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(11.55)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Auditor</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-0.008**</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0.003</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-0.010**</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(2.13)</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(0.69)</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(2.52)</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USCROSSLISTED</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-0.035**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-0.046**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-0.006</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(2.04)</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(2.00)</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(0.55)</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w:t>
            </w:r>
            <w:proofErr w:type="spellStart"/>
            <w:r w:rsidRPr="007C1A01">
              <w:rPr>
                <w:rFonts w:ascii="Times New Roman" w:hAnsi="Times New Roman"/>
                <w:sz w:val="24"/>
                <w:szCs w:val="24"/>
              </w:rPr>
              <w:t>F</w:t>
            </w:r>
            <w:r>
              <w:rPr>
                <w:rFonts w:ascii="Times New Roman" w:hAnsi="Times New Roman"/>
                <w:sz w:val="24"/>
                <w:szCs w:val="24"/>
              </w:rPr>
              <w:t>E</w:t>
            </w:r>
            <w:r w:rsidRPr="007C1A01">
              <w:rPr>
                <w:rFonts w:ascii="Times New Roman" w:hAnsi="Times New Roman"/>
                <w:sz w:val="24"/>
                <w:szCs w:val="24"/>
              </w:rPr>
              <w:t>xchange</w:t>
            </w:r>
            <w:r>
              <w:rPr>
                <w:rFonts w:ascii="Times New Roman" w:hAnsi="Times New Roman"/>
                <w:sz w:val="24"/>
                <w:szCs w:val="24"/>
              </w:rPr>
              <w:t>s</w:t>
            </w:r>
            <w:proofErr w:type="spellEnd"/>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-0.005***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-0.002</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-0.003**</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(3.00)</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(0.95)</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(2.20)</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sidRPr="007C1A01">
              <w:rPr>
                <w:rFonts w:ascii="Times New Roman" w:hAnsi="Times New Roman"/>
                <w:sz w:val="24"/>
                <w:szCs w:val="24"/>
              </w:rPr>
              <w:t>Constant</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-0.000</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0.072***</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 xml:space="preserve">    </w:t>
            </w:r>
            <w:r w:rsidRPr="007C1A01">
              <w:rPr>
                <w:rFonts w:ascii="Times New Roman" w:hAnsi="Times New Roman"/>
                <w:sz w:val="24"/>
                <w:szCs w:val="24"/>
              </w:rPr>
              <w:t>-0.045***</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(0.01)</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(5.26)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(3.74)</w:t>
            </w: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trHeight w:hRule="exact" w:val="144"/>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Industry FE</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Pr>
                <w:rFonts w:ascii="Times New Roman" w:hAnsi="Times New Roman"/>
                <w:sz w:val="24"/>
                <w:szCs w:val="24"/>
              </w:rPr>
              <w:t>Exchange FE</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Pr>
                <w:rFonts w:ascii="Times New Roman" w:hAnsi="Times New Roman"/>
                <w:sz w:val="24"/>
                <w:szCs w:val="24"/>
              </w:rPr>
              <w:t>Yes</w:t>
            </w:r>
          </w:p>
        </w:tc>
      </w:tr>
      <w:tr w:rsidR="00A44F5C" w:rsidRPr="007C1A01" w:rsidTr="002003A4">
        <w:trPr>
          <w:jc w:val="center"/>
        </w:trPr>
        <w:tc>
          <w:tcPr>
            <w:tcW w:w="1250" w:type="pct"/>
            <w:tcBorders>
              <w:top w:val="nil"/>
              <w:left w:val="nil"/>
              <w:bottom w:val="nil"/>
              <w:right w:val="nil"/>
            </w:tcBorders>
          </w:tcPr>
          <w:p w:rsidR="00A44F5C" w:rsidRPr="007C1A01" w:rsidRDefault="00A44F5C" w:rsidP="00714358">
            <w:pPr>
              <w:pStyle w:val="PlainText"/>
              <w:rPr>
                <w:rFonts w:ascii="Times New Roman" w:hAnsi="Times New Roman"/>
                <w:sz w:val="24"/>
                <w:szCs w:val="24"/>
              </w:rPr>
            </w:pPr>
            <w:r w:rsidRPr="007C1A01">
              <w:rPr>
                <w:rFonts w:ascii="Times New Roman" w:hAnsi="Times New Roman"/>
                <w:sz w:val="24"/>
                <w:szCs w:val="24"/>
              </w:rPr>
              <w:t>Observations</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4</w:t>
            </w:r>
            <w:r>
              <w:rPr>
                <w:rFonts w:ascii="Times New Roman" w:hAnsi="Times New Roman"/>
                <w:sz w:val="24"/>
                <w:szCs w:val="24"/>
              </w:rPr>
              <w:t>,</w:t>
            </w:r>
            <w:r w:rsidRPr="007C1A01">
              <w:rPr>
                <w:rFonts w:ascii="Times New Roman" w:hAnsi="Times New Roman"/>
                <w:sz w:val="24"/>
                <w:szCs w:val="24"/>
              </w:rPr>
              <w:t>856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4</w:t>
            </w:r>
            <w:r>
              <w:rPr>
                <w:rFonts w:ascii="Times New Roman" w:hAnsi="Times New Roman"/>
                <w:sz w:val="24"/>
                <w:szCs w:val="24"/>
              </w:rPr>
              <w:t>,</w:t>
            </w:r>
            <w:r w:rsidRPr="007C1A01">
              <w:rPr>
                <w:rFonts w:ascii="Times New Roman" w:hAnsi="Times New Roman"/>
                <w:sz w:val="24"/>
                <w:szCs w:val="24"/>
              </w:rPr>
              <w:t>856</w:t>
            </w:r>
          </w:p>
        </w:tc>
        <w:tc>
          <w:tcPr>
            <w:tcW w:w="1250" w:type="pct"/>
            <w:tcBorders>
              <w:top w:val="nil"/>
              <w:left w:val="nil"/>
              <w:bottom w:val="nil"/>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4</w:t>
            </w:r>
            <w:r>
              <w:rPr>
                <w:rFonts w:ascii="Times New Roman" w:hAnsi="Times New Roman"/>
                <w:sz w:val="24"/>
                <w:szCs w:val="24"/>
              </w:rPr>
              <w:t>,</w:t>
            </w:r>
            <w:r w:rsidRPr="007C1A01">
              <w:rPr>
                <w:rFonts w:ascii="Times New Roman" w:hAnsi="Times New Roman"/>
                <w:sz w:val="24"/>
                <w:szCs w:val="24"/>
              </w:rPr>
              <w:t>856</w:t>
            </w:r>
          </w:p>
        </w:tc>
      </w:tr>
      <w:tr w:rsidR="00A44F5C" w:rsidRPr="007C1A01" w:rsidTr="002003A4">
        <w:trPr>
          <w:jc w:val="center"/>
        </w:trPr>
        <w:tc>
          <w:tcPr>
            <w:tcW w:w="1250" w:type="pct"/>
            <w:tcBorders>
              <w:top w:val="nil"/>
              <w:left w:val="nil"/>
              <w:bottom w:val="single" w:sz="12" w:space="0" w:color="auto"/>
              <w:right w:val="nil"/>
            </w:tcBorders>
          </w:tcPr>
          <w:p w:rsidR="00A44F5C" w:rsidRPr="007C1A01" w:rsidRDefault="00A44F5C" w:rsidP="00714358">
            <w:pPr>
              <w:pStyle w:val="PlainText"/>
              <w:rPr>
                <w:rFonts w:ascii="Times New Roman" w:hAnsi="Times New Roman"/>
                <w:sz w:val="24"/>
                <w:szCs w:val="24"/>
              </w:rPr>
            </w:pPr>
            <w:r w:rsidRPr="007C1A01">
              <w:rPr>
                <w:rFonts w:ascii="Times New Roman" w:hAnsi="Times New Roman"/>
                <w:sz w:val="24"/>
                <w:szCs w:val="24"/>
              </w:rPr>
              <w:t>Adjusted R-squared</w:t>
            </w:r>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0.41</w:t>
            </w:r>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0.11</w:t>
            </w:r>
          </w:p>
        </w:tc>
        <w:tc>
          <w:tcPr>
            <w:tcW w:w="1250" w:type="pct"/>
            <w:tcBorders>
              <w:top w:val="nil"/>
              <w:left w:val="nil"/>
              <w:bottom w:val="single" w:sz="12" w:space="0" w:color="auto"/>
              <w:right w:val="nil"/>
            </w:tcBorders>
          </w:tcPr>
          <w:p w:rsidR="00A44F5C" w:rsidRPr="007C1A01" w:rsidRDefault="00A44F5C" w:rsidP="00714358">
            <w:pPr>
              <w:pStyle w:val="PlainText"/>
              <w:jc w:val="center"/>
              <w:rPr>
                <w:rFonts w:ascii="Times New Roman" w:hAnsi="Times New Roman"/>
                <w:sz w:val="24"/>
                <w:szCs w:val="24"/>
              </w:rPr>
            </w:pPr>
            <w:r w:rsidRPr="007C1A01">
              <w:rPr>
                <w:rFonts w:ascii="Times New Roman" w:hAnsi="Times New Roman"/>
                <w:sz w:val="24"/>
                <w:szCs w:val="24"/>
              </w:rPr>
              <w:t>0.07</w:t>
            </w:r>
          </w:p>
        </w:tc>
      </w:tr>
    </w:tbl>
    <w:p w:rsidR="00A44F5C" w:rsidRDefault="00A44F5C" w:rsidP="00A44F5C">
      <w:pPr>
        <w:jc w:val="both"/>
        <w:rPr>
          <w:i/>
          <w:sz w:val="20"/>
          <w:szCs w:val="20"/>
        </w:rPr>
      </w:pPr>
    </w:p>
    <w:p w:rsidR="00A44F5C" w:rsidRDefault="00277AA5" w:rsidP="00D7405A">
      <w:pPr>
        <w:jc w:val="both"/>
        <w:rPr>
          <w:color w:val="000000"/>
          <w:u w:val="single"/>
        </w:rPr>
      </w:pPr>
      <w:r>
        <w:rPr>
          <w:sz w:val="20"/>
          <w:szCs w:val="20"/>
        </w:rPr>
        <w:t>This table presents results from the regressions used to estimate proxies for earnings, cash flows, and accruals.  The proxy for  earnings is</w:t>
      </w:r>
      <w:r w:rsidRPr="00565161">
        <w:rPr>
          <w:sz w:val="20"/>
          <w:szCs w:val="20"/>
        </w:rPr>
        <w:t xml:space="preserve"> the residuals from </w:t>
      </w:r>
      <w:r>
        <w:rPr>
          <w:sz w:val="20"/>
          <w:szCs w:val="20"/>
        </w:rPr>
        <w:t xml:space="preserve">the pooled regression: </w:t>
      </w:r>
      <w:proofErr w:type="spellStart"/>
      <w:r w:rsidR="00A44F5C">
        <w:rPr>
          <w:i/>
          <w:sz w:val="20"/>
          <w:szCs w:val="20"/>
        </w:rPr>
        <w:t>NI</w:t>
      </w:r>
      <w:r w:rsidR="00A44F5C" w:rsidRPr="007C1A01">
        <w:rPr>
          <w:i/>
          <w:sz w:val="20"/>
          <w:szCs w:val="20"/>
        </w:rPr>
        <w:t>_</w:t>
      </w:r>
      <w:r w:rsidR="00A44F5C">
        <w:rPr>
          <w:i/>
          <w:sz w:val="20"/>
          <w:szCs w:val="20"/>
        </w:rPr>
        <w:t>A</w:t>
      </w:r>
      <w:r w:rsidR="00A44F5C" w:rsidRPr="007C1A01">
        <w:rPr>
          <w:i/>
          <w:sz w:val="20"/>
          <w:szCs w:val="20"/>
        </w:rPr>
        <w:t>ssets</w:t>
      </w:r>
      <w:proofErr w:type="spellEnd"/>
      <w:r w:rsidR="00A44F5C" w:rsidRPr="007C1A01">
        <w:rPr>
          <w:i/>
          <w:sz w:val="20"/>
          <w:szCs w:val="20"/>
        </w:rPr>
        <w:t xml:space="preserve"> = f (</w:t>
      </w:r>
      <w:r w:rsidR="00A86B5E">
        <w:rPr>
          <w:i/>
          <w:sz w:val="20"/>
          <w:szCs w:val="20"/>
        </w:rPr>
        <w:t>Size</w:t>
      </w:r>
      <w:r w:rsidR="00A44F5C" w:rsidRPr="007C1A01">
        <w:rPr>
          <w:i/>
          <w:sz w:val="20"/>
          <w:szCs w:val="20"/>
        </w:rPr>
        <w:t>, Sales Growth, OCF/Assets, Leverage, Turn, Auditor, USCROSSLISTED, # of Foreign Exchanges)</w:t>
      </w:r>
      <w:r w:rsidR="00A44F5C" w:rsidRPr="007C1A01">
        <w:rPr>
          <w:sz w:val="20"/>
          <w:szCs w:val="20"/>
        </w:rPr>
        <w:t xml:space="preserve">; </w:t>
      </w:r>
      <w:r>
        <w:rPr>
          <w:sz w:val="20"/>
          <w:szCs w:val="20"/>
        </w:rPr>
        <w:t>the proxy for cash flows is the</w:t>
      </w:r>
      <w:r w:rsidR="00A44F5C" w:rsidRPr="007C1A01">
        <w:rPr>
          <w:sz w:val="20"/>
          <w:szCs w:val="20"/>
        </w:rPr>
        <w:t xml:space="preserve"> residuals </w:t>
      </w:r>
      <w:r>
        <w:rPr>
          <w:sz w:val="20"/>
          <w:szCs w:val="20"/>
        </w:rPr>
        <w:t>from the pooled regression:</w:t>
      </w:r>
      <w:r w:rsidR="00A44F5C" w:rsidRPr="007C1A01">
        <w:rPr>
          <w:sz w:val="20"/>
          <w:szCs w:val="20"/>
        </w:rPr>
        <w:t xml:space="preserve"> </w:t>
      </w:r>
      <w:proofErr w:type="spellStart"/>
      <w:r w:rsidR="00A44F5C">
        <w:rPr>
          <w:i/>
          <w:sz w:val="20"/>
          <w:szCs w:val="20"/>
        </w:rPr>
        <w:t>OCF</w:t>
      </w:r>
      <w:r w:rsidR="00A44F5C" w:rsidRPr="007C1A01">
        <w:rPr>
          <w:i/>
          <w:sz w:val="20"/>
          <w:szCs w:val="20"/>
        </w:rPr>
        <w:t>_</w:t>
      </w:r>
      <w:r w:rsidR="00A44F5C">
        <w:rPr>
          <w:i/>
          <w:sz w:val="20"/>
          <w:szCs w:val="20"/>
        </w:rPr>
        <w:t>A</w:t>
      </w:r>
      <w:r w:rsidR="00A44F5C" w:rsidRPr="007C1A01">
        <w:rPr>
          <w:i/>
          <w:sz w:val="20"/>
          <w:szCs w:val="20"/>
        </w:rPr>
        <w:t>ssets</w:t>
      </w:r>
      <w:proofErr w:type="spellEnd"/>
      <w:r w:rsidR="00A44F5C" w:rsidRPr="007C1A01">
        <w:rPr>
          <w:i/>
          <w:sz w:val="20"/>
          <w:szCs w:val="20"/>
        </w:rPr>
        <w:t xml:space="preserve"> = f</w:t>
      </w:r>
      <w:r w:rsidR="00A44F5C" w:rsidRPr="007C1A01">
        <w:rPr>
          <w:sz w:val="20"/>
          <w:szCs w:val="20"/>
        </w:rPr>
        <w:t xml:space="preserve"> (</w:t>
      </w:r>
      <w:r w:rsidR="00A86B5E">
        <w:rPr>
          <w:i/>
          <w:sz w:val="20"/>
          <w:szCs w:val="20"/>
        </w:rPr>
        <w:t>Size</w:t>
      </w:r>
      <w:r w:rsidR="00A44F5C" w:rsidRPr="007C1A01">
        <w:rPr>
          <w:i/>
          <w:sz w:val="20"/>
          <w:szCs w:val="20"/>
        </w:rPr>
        <w:t>, Sales Growth, Leverage, Turn, Auditor, USCROSSLISTED, # of Foreign Exchanges</w:t>
      </w:r>
      <w:r w:rsidR="00A44F5C" w:rsidRPr="007C1A01">
        <w:rPr>
          <w:sz w:val="20"/>
          <w:szCs w:val="20"/>
        </w:rPr>
        <w:t xml:space="preserve">); and the </w:t>
      </w:r>
      <w:r>
        <w:rPr>
          <w:sz w:val="20"/>
          <w:szCs w:val="20"/>
        </w:rPr>
        <w:t>proxy for a</w:t>
      </w:r>
      <w:r w:rsidR="00A44F5C" w:rsidRPr="007C1A01">
        <w:rPr>
          <w:sz w:val="20"/>
          <w:szCs w:val="20"/>
        </w:rPr>
        <w:t xml:space="preserve">ccruals </w:t>
      </w:r>
      <w:r>
        <w:rPr>
          <w:sz w:val="20"/>
          <w:szCs w:val="20"/>
        </w:rPr>
        <w:t xml:space="preserve">is the </w:t>
      </w:r>
      <w:r w:rsidR="00A44F5C" w:rsidRPr="007C1A01">
        <w:rPr>
          <w:sz w:val="20"/>
          <w:szCs w:val="20"/>
        </w:rPr>
        <w:t xml:space="preserve">residuals </w:t>
      </w:r>
      <w:r>
        <w:rPr>
          <w:sz w:val="20"/>
          <w:szCs w:val="20"/>
        </w:rPr>
        <w:t xml:space="preserve">from the </w:t>
      </w:r>
      <w:r w:rsidR="00A44F5C" w:rsidRPr="007C1A01">
        <w:rPr>
          <w:sz w:val="20"/>
          <w:szCs w:val="20"/>
        </w:rPr>
        <w:t xml:space="preserve">pooled regression: </w:t>
      </w:r>
      <w:proofErr w:type="spellStart"/>
      <w:r w:rsidR="00A44F5C">
        <w:rPr>
          <w:i/>
          <w:sz w:val="20"/>
          <w:szCs w:val="20"/>
        </w:rPr>
        <w:t>A</w:t>
      </w:r>
      <w:r w:rsidR="00A44F5C" w:rsidRPr="007C1A01">
        <w:rPr>
          <w:i/>
          <w:sz w:val="20"/>
          <w:szCs w:val="20"/>
        </w:rPr>
        <w:t>ccruals_</w:t>
      </w:r>
      <w:r w:rsidR="00A44F5C">
        <w:rPr>
          <w:i/>
          <w:sz w:val="20"/>
          <w:szCs w:val="20"/>
        </w:rPr>
        <w:t>A</w:t>
      </w:r>
      <w:r w:rsidR="00A44F5C" w:rsidRPr="007C1A01">
        <w:rPr>
          <w:i/>
          <w:sz w:val="20"/>
          <w:szCs w:val="20"/>
        </w:rPr>
        <w:t>ssets</w:t>
      </w:r>
      <w:proofErr w:type="spellEnd"/>
      <w:r w:rsidR="00A44F5C" w:rsidRPr="007C1A01">
        <w:rPr>
          <w:i/>
          <w:sz w:val="20"/>
          <w:szCs w:val="20"/>
        </w:rPr>
        <w:t xml:space="preserve"> = f (</w:t>
      </w:r>
      <w:r w:rsidR="00A86B5E">
        <w:rPr>
          <w:i/>
          <w:sz w:val="20"/>
          <w:szCs w:val="20"/>
        </w:rPr>
        <w:t>Size</w:t>
      </w:r>
      <w:r w:rsidR="00A44F5C" w:rsidRPr="007C1A01">
        <w:rPr>
          <w:i/>
          <w:sz w:val="20"/>
          <w:szCs w:val="20"/>
        </w:rPr>
        <w:t>, Sales Growth, Leverage, Turn, Auditor, USCROSSLISTED, # of Foreign Exchanges)</w:t>
      </w:r>
      <w:r w:rsidR="00A44F5C" w:rsidRPr="007C1A01">
        <w:rPr>
          <w:sz w:val="20"/>
          <w:szCs w:val="20"/>
        </w:rPr>
        <w:t xml:space="preserve">. *** indicates statistical </w:t>
      </w:r>
      <w:r w:rsidR="00137237" w:rsidRPr="007C1A01">
        <w:rPr>
          <w:sz w:val="20"/>
          <w:szCs w:val="20"/>
        </w:rPr>
        <w:t>significan</w:t>
      </w:r>
      <w:r w:rsidR="00137237">
        <w:rPr>
          <w:sz w:val="20"/>
          <w:szCs w:val="20"/>
        </w:rPr>
        <w:t>ce</w:t>
      </w:r>
      <w:r w:rsidR="00137237" w:rsidRPr="007C1A01">
        <w:rPr>
          <w:sz w:val="20"/>
          <w:szCs w:val="20"/>
        </w:rPr>
        <w:t xml:space="preserve"> </w:t>
      </w:r>
      <w:r w:rsidR="00A44F5C" w:rsidRPr="007C1A01">
        <w:rPr>
          <w:sz w:val="20"/>
          <w:szCs w:val="20"/>
        </w:rPr>
        <w:t xml:space="preserve">at the 0.01 level, ** indicates statistical significance at the 0.05 level, and * indicates statistical </w:t>
      </w:r>
      <w:r w:rsidR="00137237" w:rsidRPr="007C1A01">
        <w:rPr>
          <w:sz w:val="20"/>
          <w:szCs w:val="20"/>
        </w:rPr>
        <w:t>significan</w:t>
      </w:r>
      <w:r w:rsidR="00137237">
        <w:rPr>
          <w:sz w:val="20"/>
          <w:szCs w:val="20"/>
        </w:rPr>
        <w:t>ce</w:t>
      </w:r>
      <w:r w:rsidR="00137237" w:rsidRPr="007C1A01">
        <w:rPr>
          <w:sz w:val="20"/>
          <w:szCs w:val="20"/>
        </w:rPr>
        <w:t xml:space="preserve"> </w:t>
      </w:r>
      <w:r w:rsidR="00A44F5C" w:rsidRPr="007C1A01">
        <w:rPr>
          <w:sz w:val="20"/>
          <w:szCs w:val="20"/>
        </w:rPr>
        <w:t>at the 0.10 level (two-tailed test).</w:t>
      </w:r>
    </w:p>
    <w:p w:rsidR="00A44F5C" w:rsidRDefault="00A44F5C" w:rsidP="00A44F5C">
      <w:pPr>
        <w:rPr>
          <w:color w:val="000000"/>
          <w:u w:val="single"/>
        </w:rPr>
      </w:pPr>
    </w:p>
    <w:p w:rsidR="00A44F5C" w:rsidRDefault="00A44F5C" w:rsidP="00A44F5C">
      <w:pPr>
        <w:rPr>
          <w:color w:val="000000"/>
          <w:u w:val="single"/>
        </w:rPr>
      </w:pPr>
    </w:p>
    <w:p w:rsidR="00A44F5C" w:rsidRDefault="00A44F5C" w:rsidP="00A44F5C">
      <w:pPr>
        <w:rPr>
          <w:color w:val="000000"/>
          <w:u w:val="single"/>
        </w:rPr>
      </w:pPr>
    </w:p>
    <w:p w:rsidR="00A44F5C" w:rsidRDefault="00A44F5C" w:rsidP="00A44F5C">
      <w:pPr>
        <w:rPr>
          <w:color w:val="000000"/>
          <w:u w:val="single"/>
        </w:rPr>
        <w:sectPr w:rsidR="00A44F5C" w:rsidSect="00714358">
          <w:pgSz w:w="12240" w:h="15840"/>
          <w:pgMar w:top="1440" w:right="1440" w:bottom="1440" w:left="1440" w:header="720" w:footer="720" w:gutter="0"/>
          <w:cols w:space="720"/>
          <w:docGrid w:linePitch="360"/>
        </w:sectPr>
      </w:pPr>
    </w:p>
    <w:p w:rsidR="00A44F5C" w:rsidRDefault="00A44F5C" w:rsidP="00277AA5">
      <w:pPr>
        <w:jc w:val="center"/>
        <w:rPr>
          <w:b/>
          <w:color w:val="000000"/>
        </w:rPr>
      </w:pPr>
      <w:r w:rsidRPr="00A40E27">
        <w:rPr>
          <w:b/>
          <w:color w:val="000000"/>
        </w:rPr>
        <w:lastRenderedPageBreak/>
        <w:t xml:space="preserve">Table 8: Change in </w:t>
      </w:r>
      <w:r w:rsidR="00277AA5">
        <w:rPr>
          <w:b/>
          <w:color w:val="000000"/>
        </w:rPr>
        <w:t>a</w:t>
      </w:r>
      <w:r w:rsidRPr="00A40E27">
        <w:rPr>
          <w:b/>
          <w:color w:val="000000"/>
        </w:rPr>
        <w:t xml:space="preserve">ccounting </w:t>
      </w:r>
      <w:r w:rsidR="00277AA5">
        <w:rPr>
          <w:b/>
          <w:color w:val="000000"/>
        </w:rPr>
        <w:t>q</w:t>
      </w:r>
      <w:r w:rsidRPr="00A40E27">
        <w:rPr>
          <w:b/>
          <w:color w:val="000000"/>
        </w:rPr>
        <w:t>ual</w:t>
      </w:r>
      <w:r>
        <w:rPr>
          <w:b/>
          <w:color w:val="000000"/>
        </w:rPr>
        <w:t>ity</w:t>
      </w:r>
    </w:p>
    <w:p w:rsidR="00277AA5" w:rsidRPr="00A40E27" w:rsidRDefault="00277AA5" w:rsidP="00277AA5">
      <w:pPr>
        <w:jc w:val="center"/>
        <w:rPr>
          <w:b/>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92"/>
        <w:gridCol w:w="2148"/>
        <w:gridCol w:w="2190"/>
        <w:gridCol w:w="1660"/>
        <w:gridCol w:w="1663"/>
        <w:gridCol w:w="1660"/>
        <w:gridCol w:w="1663"/>
      </w:tblGrid>
      <w:tr w:rsidR="00A44F5C" w:rsidRPr="00D76770" w:rsidTr="002003A4">
        <w:trPr>
          <w:trHeight w:hRule="exact" w:val="576"/>
          <w:jc w:val="center"/>
        </w:trPr>
        <w:tc>
          <w:tcPr>
            <w:tcW w:w="832" w:type="pct"/>
            <w:tcBorders>
              <w:left w:val="nil"/>
              <w:bottom w:val="single" w:sz="12" w:space="0" w:color="auto"/>
              <w:right w:val="single" w:sz="4" w:space="0" w:color="auto"/>
            </w:tcBorders>
            <w:vAlign w:val="bottom"/>
          </w:tcPr>
          <w:p w:rsidR="00A44F5C" w:rsidRPr="00695433" w:rsidRDefault="00A44F5C" w:rsidP="00714358">
            <w:pPr>
              <w:ind w:right="-86"/>
              <w:rPr>
                <w:b/>
                <w:color w:val="000000"/>
                <w:szCs w:val="20"/>
              </w:rPr>
            </w:pPr>
            <w:r w:rsidRPr="00695433">
              <w:rPr>
                <w:b/>
                <w:color w:val="000000"/>
                <w:szCs w:val="20"/>
              </w:rPr>
              <w:t xml:space="preserve">       Measure</w:t>
            </w:r>
          </w:p>
        </w:tc>
        <w:tc>
          <w:tcPr>
            <w:tcW w:w="815" w:type="pct"/>
            <w:tcBorders>
              <w:left w:val="single" w:sz="4" w:space="0" w:color="auto"/>
              <w:bottom w:val="single" w:sz="12" w:space="0" w:color="auto"/>
              <w:right w:val="single" w:sz="4" w:space="0" w:color="auto"/>
            </w:tcBorders>
            <w:vAlign w:val="bottom"/>
          </w:tcPr>
          <w:p w:rsidR="00A44F5C" w:rsidRPr="00695433" w:rsidRDefault="00A44F5C" w:rsidP="00714358">
            <w:pPr>
              <w:jc w:val="center"/>
              <w:rPr>
                <w:b/>
                <w:szCs w:val="21"/>
              </w:rPr>
            </w:pPr>
            <w:r w:rsidRPr="00695433">
              <w:rPr>
                <w:b/>
                <w:szCs w:val="21"/>
              </w:rPr>
              <w:t>Sign of the dif. if AQ higher</w:t>
            </w:r>
          </w:p>
        </w:tc>
        <w:tc>
          <w:tcPr>
            <w:tcW w:w="831" w:type="pct"/>
            <w:tcBorders>
              <w:left w:val="single" w:sz="4" w:space="0" w:color="auto"/>
              <w:bottom w:val="single" w:sz="12" w:space="0" w:color="auto"/>
              <w:right w:val="single" w:sz="4" w:space="0" w:color="auto"/>
            </w:tcBorders>
            <w:vAlign w:val="bottom"/>
          </w:tcPr>
          <w:p w:rsidR="00A44F5C" w:rsidRPr="00695433" w:rsidRDefault="00A44F5C" w:rsidP="00714358">
            <w:pPr>
              <w:jc w:val="center"/>
              <w:rPr>
                <w:b/>
                <w:i/>
                <w:color w:val="000000"/>
                <w:szCs w:val="21"/>
              </w:rPr>
            </w:pPr>
          </w:p>
        </w:tc>
        <w:tc>
          <w:tcPr>
            <w:tcW w:w="630" w:type="pct"/>
            <w:tcBorders>
              <w:left w:val="single" w:sz="4" w:space="0" w:color="auto"/>
              <w:bottom w:val="single" w:sz="12" w:space="0" w:color="auto"/>
              <w:right w:val="single" w:sz="4" w:space="0" w:color="auto"/>
            </w:tcBorders>
            <w:vAlign w:val="bottom"/>
          </w:tcPr>
          <w:p w:rsidR="00A44F5C" w:rsidRPr="00695433" w:rsidRDefault="00A44F5C" w:rsidP="00714358">
            <w:pPr>
              <w:ind w:right="-86"/>
              <w:jc w:val="center"/>
              <w:rPr>
                <w:b/>
                <w:color w:val="000000"/>
                <w:szCs w:val="21"/>
              </w:rPr>
            </w:pPr>
            <w:r w:rsidRPr="00695433">
              <w:rPr>
                <w:b/>
                <w:color w:val="000000"/>
                <w:szCs w:val="21"/>
              </w:rPr>
              <w:t>Pre-Merger</w:t>
            </w:r>
          </w:p>
        </w:tc>
        <w:tc>
          <w:tcPr>
            <w:tcW w:w="631" w:type="pct"/>
            <w:tcBorders>
              <w:left w:val="single" w:sz="4" w:space="0" w:color="auto"/>
              <w:bottom w:val="single" w:sz="12" w:space="0" w:color="auto"/>
              <w:right w:val="single" w:sz="4" w:space="0" w:color="auto"/>
            </w:tcBorders>
            <w:vAlign w:val="bottom"/>
          </w:tcPr>
          <w:p w:rsidR="00A44F5C" w:rsidRPr="00695433" w:rsidRDefault="00A44F5C" w:rsidP="00714358">
            <w:pPr>
              <w:ind w:right="-86"/>
              <w:jc w:val="center"/>
              <w:rPr>
                <w:b/>
                <w:i/>
                <w:color w:val="000000"/>
                <w:szCs w:val="21"/>
              </w:rPr>
            </w:pPr>
            <w:r w:rsidRPr="00695433">
              <w:rPr>
                <w:b/>
                <w:color w:val="000000"/>
                <w:szCs w:val="21"/>
              </w:rPr>
              <w:t>Post-Merger</w:t>
            </w:r>
          </w:p>
        </w:tc>
        <w:tc>
          <w:tcPr>
            <w:tcW w:w="630" w:type="pct"/>
            <w:tcBorders>
              <w:left w:val="single" w:sz="4" w:space="0" w:color="auto"/>
              <w:bottom w:val="single" w:sz="12" w:space="0" w:color="auto"/>
              <w:right w:val="single" w:sz="4" w:space="0" w:color="auto"/>
            </w:tcBorders>
            <w:vAlign w:val="bottom"/>
          </w:tcPr>
          <w:p w:rsidR="00A44F5C" w:rsidRPr="00695433" w:rsidRDefault="00A44F5C" w:rsidP="00714358">
            <w:pPr>
              <w:ind w:right="-86"/>
              <w:jc w:val="center"/>
              <w:rPr>
                <w:b/>
                <w:color w:val="000000"/>
                <w:szCs w:val="21"/>
              </w:rPr>
            </w:pPr>
            <w:r w:rsidRPr="00695433">
              <w:rPr>
                <w:b/>
                <w:color w:val="000000"/>
                <w:szCs w:val="21"/>
              </w:rPr>
              <w:t>Difference</w:t>
            </w:r>
          </w:p>
          <w:p w:rsidR="00A44F5C" w:rsidRPr="00695433" w:rsidRDefault="00A44F5C" w:rsidP="00714358">
            <w:pPr>
              <w:ind w:right="-86"/>
              <w:jc w:val="center"/>
              <w:rPr>
                <w:i/>
                <w:color w:val="000000"/>
                <w:szCs w:val="21"/>
              </w:rPr>
            </w:pPr>
            <w:r w:rsidRPr="00695433">
              <w:rPr>
                <w:b/>
                <w:color w:val="000000"/>
                <w:szCs w:val="21"/>
              </w:rPr>
              <w:t xml:space="preserve"> (post-pre)</w:t>
            </w:r>
          </w:p>
        </w:tc>
        <w:tc>
          <w:tcPr>
            <w:tcW w:w="631" w:type="pct"/>
            <w:tcBorders>
              <w:left w:val="single" w:sz="4" w:space="0" w:color="auto"/>
              <w:bottom w:val="single" w:sz="12" w:space="0" w:color="auto"/>
              <w:right w:val="nil"/>
            </w:tcBorders>
            <w:vAlign w:val="bottom"/>
          </w:tcPr>
          <w:p w:rsidR="00A44F5C" w:rsidRPr="00695433" w:rsidRDefault="00A44F5C" w:rsidP="00714358">
            <w:pPr>
              <w:ind w:right="-86"/>
              <w:jc w:val="center"/>
              <w:rPr>
                <w:b/>
                <w:color w:val="000000"/>
                <w:szCs w:val="21"/>
              </w:rPr>
            </w:pPr>
            <w:r w:rsidRPr="00695433">
              <w:rPr>
                <w:b/>
                <w:color w:val="000000"/>
                <w:szCs w:val="21"/>
              </w:rPr>
              <w:t>Difference in differences</w:t>
            </w:r>
          </w:p>
        </w:tc>
      </w:tr>
      <w:tr w:rsidR="00A44F5C" w:rsidRPr="00D76770" w:rsidTr="002003A4">
        <w:trPr>
          <w:trHeight w:hRule="exact" w:val="317"/>
          <w:jc w:val="center"/>
        </w:trPr>
        <w:tc>
          <w:tcPr>
            <w:tcW w:w="832" w:type="pct"/>
            <w:vMerge w:val="restart"/>
            <w:tcBorders>
              <w:top w:val="single" w:sz="12" w:space="0" w:color="auto"/>
              <w:left w:val="nil"/>
              <w:bottom w:val="single" w:sz="4" w:space="0" w:color="auto"/>
              <w:right w:val="single" w:sz="4" w:space="0" w:color="auto"/>
            </w:tcBorders>
            <w:vAlign w:val="center"/>
          </w:tcPr>
          <w:p w:rsidR="00A44F5C" w:rsidRPr="00D76770" w:rsidRDefault="00A44F5C" w:rsidP="00714358">
            <w:pPr>
              <w:ind w:right="-90"/>
              <w:jc w:val="both"/>
              <w:rPr>
                <w:color w:val="000000"/>
                <w:szCs w:val="20"/>
              </w:rPr>
            </w:pPr>
            <w:r w:rsidRPr="00D76770">
              <w:rPr>
                <w:color w:val="000000"/>
                <w:szCs w:val="20"/>
              </w:rPr>
              <w:t xml:space="preserve">      </w:t>
            </w:r>
            <w:proofErr w:type="spellStart"/>
            <w:r w:rsidRPr="00D76770">
              <w:rPr>
                <w:color w:val="000000"/>
                <w:szCs w:val="20"/>
              </w:rPr>
              <w:t>StdDev</w:t>
            </w:r>
            <w:proofErr w:type="spellEnd"/>
            <w:r w:rsidRPr="00D76770">
              <w:rPr>
                <w:color w:val="000000"/>
                <w:szCs w:val="20"/>
              </w:rPr>
              <w:t xml:space="preserve"> of NI</w:t>
            </w:r>
          </w:p>
          <w:p w:rsidR="00A44F5C" w:rsidRPr="00D76770" w:rsidRDefault="00A44F5C" w:rsidP="00714358">
            <w:pPr>
              <w:ind w:left="902" w:right="-90"/>
              <w:jc w:val="both"/>
              <w:rPr>
                <w:color w:val="000000"/>
                <w:szCs w:val="20"/>
              </w:rPr>
            </w:pPr>
          </w:p>
        </w:tc>
        <w:tc>
          <w:tcPr>
            <w:tcW w:w="815" w:type="pct"/>
            <w:vMerge w:val="restart"/>
            <w:tcBorders>
              <w:top w:val="single" w:sz="12" w:space="0" w:color="auto"/>
              <w:left w:val="single" w:sz="4" w:space="0" w:color="auto"/>
              <w:bottom w:val="single" w:sz="4" w:space="0" w:color="auto"/>
              <w:right w:val="single" w:sz="4" w:space="0" w:color="auto"/>
            </w:tcBorders>
            <w:vAlign w:val="center"/>
          </w:tcPr>
          <w:p w:rsidR="00A44F5C" w:rsidRPr="00D76770" w:rsidRDefault="00A44F5C" w:rsidP="00714358">
            <w:pPr>
              <w:jc w:val="center"/>
              <w:rPr>
                <w:b/>
                <w:sz w:val="21"/>
                <w:szCs w:val="21"/>
              </w:rPr>
            </w:pPr>
            <w:r w:rsidRPr="00D76770">
              <w:rPr>
                <w:b/>
                <w:sz w:val="28"/>
                <w:szCs w:val="21"/>
              </w:rPr>
              <w:t>+</w:t>
            </w:r>
          </w:p>
        </w:tc>
        <w:tc>
          <w:tcPr>
            <w:tcW w:w="831" w:type="pct"/>
            <w:tcBorders>
              <w:top w:val="single" w:sz="12" w:space="0" w:color="auto"/>
              <w:left w:val="single" w:sz="4" w:space="0" w:color="auto"/>
              <w:bottom w:val="single" w:sz="4" w:space="0" w:color="auto"/>
              <w:right w:val="single" w:sz="4" w:space="0" w:color="auto"/>
            </w:tcBorders>
            <w:vAlign w:val="bottom"/>
          </w:tcPr>
          <w:p w:rsidR="00A44F5C" w:rsidRPr="007E7839" w:rsidRDefault="00A44F5C" w:rsidP="00714358">
            <w:pPr>
              <w:rPr>
                <w:color w:val="000000"/>
              </w:rPr>
            </w:pPr>
            <w:r w:rsidRPr="007E7839">
              <w:rPr>
                <w:color w:val="000000"/>
              </w:rPr>
              <w:t>Non-Segment</w:t>
            </w:r>
          </w:p>
        </w:tc>
        <w:tc>
          <w:tcPr>
            <w:tcW w:w="630" w:type="pct"/>
            <w:tcBorders>
              <w:top w:val="single" w:sz="12"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0.0583</w:t>
            </w:r>
          </w:p>
        </w:tc>
        <w:tc>
          <w:tcPr>
            <w:tcW w:w="631" w:type="pct"/>
            <w:tcBorders>
              <w:top w:val="single" w:sz="12"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0.0633</w:t>
            </w:r>
          </w:p>
        </w:tc>
        <w:tc>
          <w:tcPr>
            <w:tcW w:w="630" w:type="pct"/>
            <w:tcBorders>
              <w:top w:val="single" w:sz="12"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0.0050</w:t>
            </w:r>
          </w:p>
        </w:tc>
        <w:tc>
          <w:tcPr>
            <w:tcW w:w="631" w:type="pct"/>
            <w:vMerge w:val="restart"/>
            <w:tcBorders>
              <w:top w:val="single" w:sz="12" w:space="0" w:color="auto"/>
              <w:left w:val="single" w:sz="4" w:space="0" w:color="auto"/>
              <w:bottom w:val="single" w:sz="4" w:space="0" w:color="auto"/>
              <w:right w:val="nil"/>
            </w:tcBorders>
            <w:vAlign w:val="bottom"/>
          </w:tcPr>
          <w:p w:rsidR="00A44F5C" w:rsidRPr="007E7839" w:rsidRDefault="008A69A4" w:rsidP="008A69A4">
            <w:pPr>
              <w:ind w:right="-90"/>
              <w:rPr>
                <w:color w:val="000000"/>
                <w:sz w:val="21"/>
                <w:szCs w:val="21"/>
              </w:rPr>
            </w:pPr>
            <w:r>
              <w:rPr>
                <w:color w:val="000000"/>
                <w:szCs w:val="21"/>
              </w:rPr>
              <w:t xml:space="preserve">   </w:t>
            </w:r>
            <w:r w:rsidR="00A44F5C" w:rsidRPr="007E7839">
              <w:rPr>
                <w:color w:val="000000"/>
                <w:szCs w:val="21"/>
              </w:rPr>
              <w:t>0.0120</w:t>
            </w:r>
          </w:p>
        </w:tc>
      </w:tr>
      <w:tr w:rsidR="00A44F5C" w:rsidRPr="00D76770" w:rsidTr="002003A4">
        <w:trPr>
          <w:trHeight w:hRule="exact" w:val="317"/>
          <w:jc w:val="center"/>
        </w:trPr>
        <w:tc>
          <w:tcPr>
            <w:tcW w:w="832" w:type="pct"/>
            <w:vMerge/>
            <w:tcBorders>
              <w:top w:val="single" w:sz="4" w:space="0" w:color="auto"/>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top w:val="single" w:sz="4" w:space="0" w:color="auto"/>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rPr>
                <w:color w:val="000000"/>
              </w:rPr>
            </w:pPr>
            <w:r w:rsidRPr="007E7839">
              <w:rPr>
                <w:color w:val="000000"/>
              </w:rPr>
              <w:t>Segment</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0.0613</w:t>
            </w: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0.0783</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Pr>
                <w:color w:val="000000"/>
              </w:rPr>
              <w:t xml:space="preserve">    </w:t>
            </w:r>
            <w:r w:rsidRPr="007E7839">
              <w:rPr>
                <w:color w:val="000000"/>
              </w:rPr>
              <w:t>0.017</w:t>
            </w:r>
            <w:r>
              <w:rPr>
                <w:color w:val="000000"/>
              </w:rPr>
              <w:t>0**</w:t>
            </w:r>
          </w:p>
        </w:tc>
        <w:tc>
          <w:tcPr>
            <w:tcW w:w="631" w:type="pct"/>
            <w:vMerge/>
            <w:tcBorders>
              <w:top w:val="single" w:sz="4" w:space="0" w:color="auto"/>
              <w:left w:val="single" w:sz="4" w:space="0" w:color="auto"/>
              <w:bottom w:val="single" w:sz="4" w:space="0" w:color="auto"/>
              <w:right w:val="nil"/>
            </w:tcBorders>
            <w:vAlign w:val="bottom"/>
          </w:tcPr>
          <w:p w:rsidR="00A44F5C" w:rsidRPr="00D76770" w:rsidRDefault="00A44F5C" w:rsidP="00714358">
            <w:pPr>
              <w:ind w:right="-90"/>
              <w:jc w:val="right"/>
              <w:rPr>
                <w:b/>
                <w:color w:val="000000"/>
                <w:sz w:val="21"/>
                <w:szCs w:val="21"/>
              </w:rPr>
            </w:pPr>
          </w:p>
        </w:tc>
      </w:tr>
      <w:tr w:rsidR="00A44F5C" w:rsidRPr="00D76770" w:rsidTr="002003A4">
        <w:trPr>
          <w:trHeight w:hRule="exact" w:val="144"/>
          <w:jc w:val="center"/>
        </w:trPr>
        <w:tc>
          <w:tcPr>
            <w:tcW w:w="832" w:type="pct"/>
            <w:vMerge/>
            <w:tcBorders>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1" w:type="pct"/>
            <w:tcBorders>
              <w:top w:val="single" w:sz="4" w:space="0" w:color="auto"/>
              <w:left w:val="single" w:sz="4" w:space="0" w:color="auto"/>
              <w:bottom w:val="single" w:sz="4" w:space="0" w:color="auto"/>
              <w:right w:val="nil"/>
            </w:tcBorders>
            <w:vAlign w:val="bottom"/>
          </w:tcPr>
          <w:p w:rsidR="00A44F5C" w:rsidRPr="00D76770" w:rsidRDefault="00A44F5C" w:rsidP="00714358">
            <w:pPr>
              <w:ind w:right="-90"/>
              <w:jc w:val="right"/>
              <w:rPr>
                <w:b/>
                <w:color w:val="000000"/>
                <w:sz w:val="21"/>
                <w:szCs w:val="21"/>
              </w:rPr>
            </w:pPr>
          </w:p>
        </w:tc>
      </w:tr>
      <w:tr w:rsidR="00A44F5C" w:rsidRPr="00D76770"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r w:rsidRPr="00A71829">
              <w:rPr>
                <w:color w:val="000000"/>
                <w:szCs w:val="21"/>
              </w:rPr>
              <w:t>Non-Segment</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0.0583</w:t>
            </w: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0.0633</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0.0050</w:t>
            </w:r>
          </w:p>
        </w:tc>
        <w:tc>
          <w:tcPr>
            <w:tcW w:w="631" w:type="pct"/>
            <w:vMerge w:val="restart"/>
            <w:tcBorders>
              <w:top w:val="single" w:sz="4" w:space="0" w:color="auto"/>
              <w:left w:val="single" w:sz="4" w:space="0" w:color="auto"/>
              <w:bottom w:val="single" w:sz="12" w:space="0" w:color="auto"/>
              <w:right w:val="nil"/>
            </w:tcBorders>
            <w:vAlign w:val="bottom"/>
          </w:tcPr>
          <w:p w:rsidR="00A44F5C" w:rsidRPr="008840B2" w:rsidRDefault="008A69A4" w:rsidP="008A69A4">
            <w:pPr>
              <w:ind w:right="-90"/>
              <w:rPr>
                <w:color w:val="000000"/>
                <w:szCs w:val="21"/>
              </w:rPr>
            </w:pPr>
            <w:r>
              <w:rPr>
                <w:color w:val="000000"/>
                <w:szCs w:val="21"/>
              </w:rPr>
              <w:t xml:space="preserve">   </w:t>
            </w:r>
            <w:r w:rsidR="00A44F5C" w:rsidRPr="008840B2">
              <w:rPr>
                <w:color w:val="000000"/>
                <w:szCs w:val="21"/>
              </w:rPr>
              <w:t>0.0</w:t>
            </w:r>
            <w:r w:rsidR="00A44F5C">
              <w:rPr>
                <w:color w:val="000000"/>
                <w:szCs w:val="21"/>
              </w:rPr>
              <w:t>02</w:t>
            </w:r>
            <w:r w:rsidR="00A44F5C" w:rsidRPr="008840B2">
              <w:rPr>
                <w:color w:val="000000"/>
                <w:szCs w:val="21"/>
              </w:rPr>
              <w:t>7</w:t>
            </w:r>
          </w:p>
        </w:tc>
      </w:tr>
      <w:tr w:rsidR="00A44F5C" w:rsidRPr="00D76770"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proofErr w:type="spellStart"/>
            <w:r w:rsidRPr="00A71829">
              <w:rPr>
                <w:color w:val="000000"/>
                <w:szCs w:val="21"/>
              </w:rPr>
              <w:t>SegmentLowCompl</w:t>
            </w:r>
            <w:proofErr w:type="spellEnd"/>
          </w:p>
        </w:tc>
        <w:tc>
          <w:tcPr>
            <w:tcW w:w="630" w:type="pct"/>
            <w:tcBorders>
              <w:top w:val="single" w:sz="4" w:space="0" w:color="auto"/>
              <w:left w:val="single" w:sz="4" w:space="0" w:color="auto"/>
              <w:bottom w:val="single" w:sz="4" w:space="0" w:color="auto"/>
              <w:right w:val="single" w:sz="4" w:space="0" w:color="auto"/>
            </w:tcBorders>
            <w:vAlign w:val="bottom"/>
          </w:tcPr>
          <w:p w:rsidR="00A44F5C" w:rsidRPr="008B6018" w:rsidRDefault="00A44F5C" w:rsidP="00714358">
            <w:pPr>
              <w:ind w:right="-90"/>
              <w:jc w:val="center"/>
              <w:rPr>
                <w:color w:val="000000"/>
              </w:rPr>
            </w:pPr>
            <w:r w:rsidRPr="008B6018">
              <w:rPr>
                <w:color w:val="000000"/>
              </w:rPr>
              <w:t>0.0739</w:t>
            </w: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8B6018" w:rsidRDefault="00A44F5C" w:rsidP="00714358">
            <w:pPr>
              <w:ind w:right="-90"/>
              <w:jc w:val="center"/>
              <w:rPr>
                <w:color w:val="000000"/>
              </w:rPr>
            </w:pPr>
            <w:r w:rsidRPr="008B6018">
              <w:rPr>
                <w:color w:val="000000"/>
              </w:rPr>
              <w:t>0.0816</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8B6018" w:rsidRDefault="00A44F5C" w:rsidP="00714358">
            <w:pPr>
              <w:ind w:right="-90"/>
              <w:jc w:val="center"/>
              <w:rPr>
                <w:color w:val="000000"/>
              </w:rPr>
            </w:pPr>
            <w:r w:rsidRPr="008B6018">
              <w:rPr>
                <w:color w:val="000000"/>
              </w:rPr>
              <w:t>0.0077</w:t>
            </w:r>
          </w:p>
        </w:tc>
        <w:tc>
          <w:tcPr>
            <w:tcW w:w="631" w:type="pct"/>
            <w:vMerge/>
            <w:tcBorders>
              <w:left w:val="single" w:sz="4" w:space="0" w:color="auto"/>
              <w:bottom w:val="single" w:sz="4" w:space="0" w:color="auto"/>
              <w:right w:val="nil"/>
            </w:tcBorders>
            <w:vAlign w:val="bottom"/>
          </w:tcPr>
          <w:p w:rsidR="00A44F5C" w:rsidRPr="00D76770" w:rsidRDefault="00A44F5C" w:rsidP="00714358">
            <w:pPr>
              <w:ind w:right="-90"/>
              <w:jc w:val="right"/>
              <w:rPr>
                <w:b/>
                <w:color w:val="000000"/>
                <w:sz w:val="21"/>
                <w:szCs w:val="21"/>
              </w:rPr>
            </w:pPr>
          </w:p>
        </w:tc>
      </w:tr>
      <w:tr w:rsidR="00A44F5C" w:rsidRPr="00D76770" w:rsidTr="002003A4">
        <w:trPr>
          <w:trHeight w:hRule="exact" w:val="144"/>
          <w:jc w:val="center"/>
        </w:trPr>
        <w:tc>
          <w:tcPr>
            <w:tcW w:w="832" w:type="pct"/>
            <w:vMerge/>
            <w:tcBorders>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D76770" w:rsidRDefault="00A44F5C" w:rsidP="00714358">
            <w:pPr>
              <w:ind w:right="-90"/>
              <w:jc w:val="center"/>
              <w:rPr>
                <w:b/>
                <w:color w:val="000000"/>
                <w:sz w:val="20"/>
                <w:szCs w:val="21"/>
              </w:rPr>
            </w:pPr>
          </w:p>
        </w:tc>
        <w:tc>
          <w:tcPr>
            <w:tcW w:w="631" w:type="pct"/>
            <w:tcBorders>
              <w:top w:val="single" w:sz="4" w:space="0" w:color="auto"/>
              <w:left w:val="single" w:sz="4" w:space="0" w:color="auto"/>
              <w:bottom w:val="single" w:sz="4" w:space="0" w:color="auto"/>
              <w:right w:val="nil"/>
            </w:tcBorders>
            <w:vAlign w:val="bottom"/>
          </w:tcPr>
          <w:p w:rsidR="00A44F5C" w:rsidRPr="00D76770" w:rsidRDefault="00A44F5C" w:rsidP="00714358">
            <w:pPr>
              <w:ind w:right="-90"/>
              <w:jc w:val="right"/>
              <w:rPr>
                <w:b/>
                <w:color w:val="000000"/>
                <w:sz w:val="21"/>
                <w:szCs w:val="21"/>
              </w:rPr>
            </w:pPr>
          </w:p>
        </w:tc>
      </w:tr>
      <w:tr w:rsidR="00A44F5C" w:rsidRPr="00D76770" w:rsidTr="008A69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r>
              <w:rPr>
                <w:color w:val="000000"/>
                <w:szCs w:val="21"/>
              </w:rPr>
              <w:t>Non-Seg</w:t>
            </w:r>
            <w:r w:rsidRPr="00A71829">
              <w:rPr>
                <w:color w:val="000000"/>
                <w:szCs w:val="21"/>
              </w:rPr>
              <w:t>ment</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0.0583</w:t>
            </w: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0.0633</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7E7839" w:rsidRDefault="00A44F5C" w:rsidP="00714358">
            <w:pPr>
              <w:ind w:right="-90"/>
              <w:jc w:val="center"/>
              <w:rPr>
                <w:color w:val="000000"/>
              </w:rPr>
            </w:pPr>
            <w:r w:rsidRPr="007E7839">
              <w:rPr>
                <w:color w:val="000000"/>
              </w:rPr>
              <w:t>0.0050</w:t>
            </w:r>
          </w:p>
        </w:tc>
        <w:tc>
          <w:tcPr>
            <w:tcW w:w="631" w:type="pct"/>
            <w:vMerge w:val="restart"/>
            <w:tcBorders>
              <w:top w:val="single" w:sz="4" w:space="0" w:color="auto"/>
              <w:left w:val="single" w:sz="4" w:space="0" w:color="auto"/>
              <w:bottom w:val="single" w:sz="4" w:space="0" w:color="auto"/>
              <w:right w:val="nil"/>
            </w:tcBorders>
            <w:vAlign w:val="bottom"/>
          </w:tcPr>
          <w:p w:rsidR="00A44F5C" w:rsidRPr="00D76770" w:rsidRDefault="008A69A4" w:rsidP="008A69A4">
            <w:pPr>
              <w:ind w:right="-90"/>
              <w:rPr>
                <w:b/>
                <w:color w:val="000000"/>
                <w:sz w:val="21"/>
                <w:szCs w:val="21"/>
              </w:rPr>
            </w:pPr>
            <w:r>
              <w:rPr>
                <w:color w:val="000000"/>
                <w:szCs w:val="21"/>
              </w:rPr>
              <w:t xml:space="preserve">   </w:t>
            </w:r>
            <w:r w:rsidR="00A44F5C" w:rsidRPr="00637EC9">
              <w:rPr>
                <w:color w:val="000000"/>
                <w:szCs w:val="21"/>
              </w:rPr>
              <w:t>0.0154</w:t>
            </w:r>
          </w:p>
        </w:tc>
      </w:tr>
      <w:tr w:rsidR="00A44F5C" w:rsidRPr="00D76770" w:rsidTr="002003A4">
        <w:trPr>
          <w:trHeight w:hRule="exact" w:val="317"/>
          <w:jc w:val="center"/>
        </w:trPr>
        <w:tc>
          <w:tcPr>
            <w:tcW w:w="832" w:type="pct"/>
            <w:vMerge/>
            <w:tcBorders>
              <w:left w:val="nil"/>
              <w:bottom w:val="single" w:sz="12" w:space="0" w:color="auto"/>
              <w:right w:val="single" w:sz="4" w:space="0" w:color="auto"/>
            </w:tcBorders>
          </w:tcPr>
          <w:p w:rsidR="00A44F5C" w:rsidRPr="00D76770" w:rsidRDefault="00A44F5C" w:rsidP="00714358">
            <w:pPr>
              <w:ind w:left="902" w:right="-90"/>
              <w:rPr>
                <w:i/>
                <w:color w:val="000000"/>
                <w:sz w:val="20"/>
                <w:szCs w:val="20"/>
              </w:rPr>
            </w:pPr>
          </w:p>
        </w:tc>
        <w:tc>
          <w:tcPr>
            <w:tcW w:w="815" w:type="pct"/>
            <w:vMerge/>
            <w:tcBorders>
              <w:left w:val="single" w:sz="4" w:space="0" w:color="auto"/>
              <w:bottom w:val="single" w:sz="12" w:space="0" w:color="auto"/>
              <w:right w:val="single" w:sz="4" w:space="0" w:color="auto"/>
            </w:tcBorders>
            <w:vAlign w:val="bottom"/>
          </w:tcPr>
          <w:p w:rsidR="00A44F5C" w:rsidRPr="00D76770" w:rsidRDefault="00A44F5C" w:rsidP="00714358">
            <w:pPr>
              <w:jc w:val="center"/>
              <w:rPr>
                <w:b/>
                <w:sz w:val="21"/>
                <w:szCs w:val="21"/>
              </w:rPr>
            </w:pPr>
          </w:p>
        </w:tc>
        <w:tc>
          <w:tcPr>
            <w:tcW w:w="831" w:type="pct"/>
            <w:tcBorders>
              <w:top w:val="single" w:sz="4" w:space="0" w:color="auto"/>
              <w:left w:val="single" w:sz="4" w:space="0" w:color="auto"/>
              <w:bottom w:val="single" w:sz="4" w:space="0" w:color="auto"/>
              <w:right w:val="single" w:sz="4" w:space="0" w:color="auto"/>
            </w:tcBorders>
            <w:vAlign w:val="bottom"/>
          </w:tcPr>
          <w:p w:rsidR="00A44F5C" w:rsidRPr="00A71829" w:rsidRDefault="00A44F5C" w:rsidP="00714358">
            <w:pPr>
              <w:rPr>
                <w:color w:val="000000"/>
                <w:szCs w:val="21"/>
              </w:rPr>
            </w:pPr>
            <w:proofErr w:type="spellStart"/>
            <w:r w:rsidRPr="00A71829">
              <w:rPr>
                <w:color w:val="000000"/>
                <w:szCs w:val="21"/>
              </w:rPr>
              <w:t>SegmentHighCompl</w:t>
            </w:r>
            <w:proofErr w:type="spellEnd"/>
          </w:p>
        </w:tc>
        <w:tc>
          <w:tcPr>
            <w:tcW w:w="630" w:type="pct"/>
            <w:tcBorders>
              <w:top w:val="single" w:sz="4" w:space="0" w:color="auto"/>
              <w:left w:val="single" w:sz="4" w:space="0" w:color="auto"/>
              <w:bottom w:val="single" w:sz="4" w:space="0" w:color="auto"/>
              <w:right w:val="single" w:sz="4" w:space="0" w:color="auto"/>
            </w:tcBorders>
            <w:vAlign w:val="bottom"/>
          </w:tcPr>
          <w:p w:rsidR="00A44F5C" w:rsidRPr="00637EC9" w:rsidRDefault="00A44F5C" w:rsidP="00714358">
            <w:pPr>
              <w:ind w:right="-90"/>
              <w:jc w:val="center"/>
              <w:rPr>
                <w:color w:val="000000"/>
              </w:rPr>
            </w:pPr>
            <w:r w:rsidRPr="00637EC9">
              <w:rPr>
                <w:color w:val="000000"/>
              </w:rPr>
              <w:t>0.0558</w:t>
            </w:r>
          </w:p>
        </w:tc>
        <w:tc>
          <w:tcPr>
            <w:tcW w:w="631" w:type="pct"/>
            <w:tcBorders>
              <w:top w:val="single" w:sz="4" w:space="0" w:color="auto"/>
              <w:left w:val="single" w:sz="4" w:space="0" w:color="auto"/>
              <w:bottom w:val="single" w:sz="4" w:space="0" w:color="auto"/>
              <w:right w:val="single" w:sz="4" w:space="0" w:color="auto"/>
            </w:tcBorders>
            <w:vAlign w:val="bottom"/>
          </w:tcPr>
          <w:p w:rsidR="00A44F5C" w:rsidRPr="00637EC9" w:rsidRDefault="00A44F5C" w:rsidP="00714358">
            <w:pPr>
              <w:ind w:right="-90"/>
              <w:jc w:val="center"/>
              <w:rPr>
                <w:color w:val="000000"/>
              </w:rPr>
            </w:pPr>
            <w:r w:rsidRPr="00637EC9">
              <w:rPr>
                <w:color w:val="000000"/>
              </w:rPr>
              <w:t>0.0762</w:t>
            </w:r>
          </w:p>
        </w:tc>
        <w:tc>
          <w:tcPr>
            <w:tcW w:w="630" w:type="pct"/>
            <w:tcBorders>
              <w:top w:val="single" w:sz="4" w:space="0" w:color="auto"/>
              <w:left w:val="single" w:sz="4" w:space="0" w:color="auto"/>
              <w:bottom w:val="single" w:sz="4" w:space="0" w:color="auto"/>
              <w:right w:val="single" w:sz="4" w:space="0" w:color="auto"/>
            </w:tcBorders>
            <w:vAlign w:val="bottom"/>
          </w:tcPr>
          <w:p w:rsidR="00A44F5C" w:rsidRPr="00637EC9" w:rsidRDefault="00A44F5C" w:rsidP="00714358">
            <w:pPr>
              <w:ind w:right="-90"/>
              <w:jc w:val="center"/>
              <w:rPr>
                <w:color w:val="000000"/>
              </w:rPr>
            </w:pPr>
            <w:r>
              <w:rPr>
                <w:color w:val="000000"/>
              </w:rPr>
              <w:t xml:space="preserve">    </w:t>
            </w:r>
            <w:r w:rsidRPr="00637EC9">
              <w:rPr>
                <w:color w:val="000000"/>
              </w:rPr>
              <w:t>0.0204</w:t>
            </w:r>
            <w:r>
              <w:rPr>
                <w:color w:val="000000"/>
              </w:rPr>
              <w:t>**</w:t>
            </w:r>
          </w:p>
        </w:tc>
        <w:tc>
          <w:tcPr>
            <w:tcW w:w="631" w:type="pct"/>
            <w:vMerge/>
            <w:tcBorders>
              <w:top w:val="single" w:sz="4" w:space="0" w:color="auto"/>
              <w:left w:val="single" w:sz="4" w:space="0" w:color="auto"/>
              <w:bottom w:val="single" w:sz="4" w:space="0" w:color="auto"/>
              <w:right w:val="nil"/>
            </w:tcBorders>
            <w:vAlign w:val="bottom"/>
          </w:tcPr>
          <w:p w:rsidR="00A44F5C" w:rsidRPr="00D76770" w:rsidRDefault="00A44F5C" w:rsidP="00714358">
            <w:pPr>
              <w:ind w:right="-90"/>
              <w:jc w:val="right"/>
              <w:rPr>
                <w:b/>
                <w:color w:val="000000"/>
                <w:sz w:val="21"/>
                <w:szCs w:val="21"/>
              </w:rPr>
            </w:pPr>
          </w:p>
        </w:tc>
      </w:tr>
      <w:tr w:rsidR="00A44F5C" w:rsidRPr="00D76770" w:rsidTr="002003A4">
        <w:trPr>
          <w:trHeight w:hRule="exact" w:val="317"/>
          <w:jc w:val="center"/>
        </w:trPr>
        <w:tc>
          <w:tcPr>
            <w:tcW w:w="832" w:type="pct"/>
            <w:tcBorders>
              <w:left w:val="nil"/>
              <w:right w:val="single" w:sz="4" w:space="0" w:color="auto"/>
            </w:tcBorders>
            <w:vAlign w:val="center"/>
          </w:tcPr>
          <w:p w:rsidR="00A44F5C" w:rsidRPr="00D76770" w:rsidRDefault="00A44F5C" w:rsidP="00714358">
            <w:pPr>
              <w:ind w:right="-86"/>
              <w:jc w:val="center"/>
              <w:rPr>
                <w:color w:val="000000"/>
                <w:szCs w:val="20"/>
              </w:rPr>
            </w:pPr>
          </w:p>
        </w:tc>
        <w:tc>
          <w:tcPr>
            <w:tcW w:w="815" w:type="pct"/>
            <w:tcBorders>
              <w:left w:val="single" w:sz="4" w:space="0" w:color="auto"/>
              <w:right w:val="single" w:sz="4" w:space="0" w:color="auto"/>
            </w:tcBorders>
            <w:vAlign w:val="center"/>
          </w:tcPr>
          <w:p w:rsidR="00A44F5C" w:rsidRPr="009B2C6F" w:rsidRDefault="00A44F5C" w:rsidP="00714358">
            <w:pPr>
              <w:ind w:right="-90"/>
              <w:jc w:val="center"/>
              <w:rPr>
                <w:b/>
                <w:color w:val="000000"/>
                <w:szCs w:val="20"/>
              </w:rPr>
            </w:pPr>
          </w:p>
        </w:tc>
        <w:tc>
          <w:tcPr>
            <w:tcW w:w="831" w:type="pct"/>
            <w:tcBorders>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left w:val="single" w:sz="4" w:space="0" w:color="auto"/>
              <w:bottom w:val="single" w:sz="4" w:space="0" w:color="auto"/>
              <w:right w:val="single" w:sz="4" w:space="0" w:color="auto"/>
            </w:tcBorders>
          </w:tcPr>
          <w:p w:rsidR="00A44F5C" w:rsidRPr="00D76770" w:rsidRDefault="00A44F5C" w:rsidP="00714358">
            <w:pPr>
              <w:ind w:left="87" w:right="-90"/>
              <w:jc w:val="center"/>
              <w:rPr>
                <w:color w:val="000000"/>
                <w:sz w:val="20"/>
              </w:rPr>
            </w:pPr>
          </w:p>
        </w:tc>
        <w:tc>
          <w:tcPr>
            <w:tcW w:w="631" w:type="pct"/>
            <w:tcBorders>
              <w:left w:val="single" w:sz="4" w:space="0" w:color="auto"/>
              <w:bottom w:val="single" w:sz="4" w:space="0" w:color="auto"/>
              <w:right w:val="single" w:sz="4" w:space="0" w:color="auto"/>
            </w:tcBorders>
          </w:tcPr>
          <w:p w:rsidR="00A44F5C" w:rsidRPr="00D76770" w:rsidRDefault="00A44F5C" w:rsidP="00714358">
            <w:pPr>
              <w:ind w:left="428" w:right="-90"/>
              <w:jc w:val="center"/>
              <w:rPr>
                <w:color w:val="000000"/>
                <w:sz w:val="20"/>
              </w:rPr>
            </w:pPr>
          </w:p>
        </w:tc>
        <w:tc>
          <w:tcPr>
            <w:tcW w:w="630" w:type="pct"/>
            <w:tcBorders>
              <w:left w:val="single" w:sz="4" w:space="0" w:color="auto"/>
              <w:bottom w:val="single" w:sz="4" w:space="0" w:color="auto"/>
              <w:right w:val="single" w:sz="4" w:space="0" w:color="auto"/>
            </w:tcBorders>
          </w:tcPr>
          <w:p w:rsidR="00A44F5C" w:rsidRPr="00D76770" w:rsidRDefault="00A44F5C" w:rsidP="00714358">
            <w:pPr>
              <w:ind w:right="-90"/>
              <w:rPr>
                <w:color w:val="000000"/>
                <w:sz w:val="20"/>
              </w:rPr>
            </w:pPr>
          </w:p>
        </w:tc>
        <w:tc>
          <w:tcPr>
            <w:tcW w:w="631" w:type="pct"/>
            <w:tcBorders>
              <w:left w:val="single" w:sz="4" w:space="0" w:color="auto"/>
              <w:bottom w:val="single" w:sz="4" w:space="0" w:color="auto"/>
              <w:right w:val="nil"/>
            </w:tcBorders>
            <w:vAlign w:val="center"/>
          </w:tcPr>
          <w:p w:rsidR="00A44F5C" w:rsidRPr="00D76770" w:rsidRDefault="00A44F5C" w:rsidP="00714358">
            <w:pPr>
              <w:ind w:left="464" w:right="-90"/>
              <w:jc w:val="center"/>
              <w:rPr>
                <w:color w:val="000000"/>
                <w:sz w:val="20"/>
              </w:rPr>
            </w:pPr>
          </w:p>
        </w:tc>
      </w:tr>
      <w:tr w:rsidR="00A44F5C" w:rsidRPr="00D76770" w:rsidTr="002003A4">
        <w:trPr>
          <w:trHeight w:hRule="exact" w:val="317"/>
          <w:jc w:val="center"/>
        </w:trPr>
        <w:tc>
          <w:tcPr>
            <w:tcW w:w="832" w:type="pct"/>
            <w:vMerge w:val="restart"/>
            <w:tcBorders>
              <w:left w:val="nil"/>
              <w:right w:val="single" w:sz="4" w:space="0" w:color="auto"/>
            </w:tcBorders>
            <w:vAlign w:val="center"/>
          </w:tcPr>
          <w:p w:rsidR="00A44F5C" w:rsidRDefault="00A44F5C" w:rsidP="00714358">
            <w:pPr>
              <w:ind w:right="-86"/>
              <w:jc w:val="center"/>
              <w:rPr>
                <w:color w:val="000000"/>
                <w:szCs w:val="20"/>
              </w:rPr>
            </w:pPr>
            <w:proofErr w:type="spellStart"/>
            <w:r w:rsidRPr="00D76770">
              <w:rPr>
                <w:color w:val="000000"/>
                <w:szCs w:val="20"/>
              </w:rPr>
              <w:t>St</w:t>
            </w:r>
            <w:r>
              <w:rPr>
                <w:color w:val="000000"/>
                <w:szCs w:val="20"/>
              </w:rPr>
              <w:t>d</w:t>
            </w:r>
            <w:r w:rsidRPr="00D76770">
              <w:rPr>
                <w:color w:val="000000"/>
                <w:szCs w:val="20"/>
              </w:rPr>
              <w:t>Dev</w:t>
            </w:r>
            <w:proofErr w:type="spellEnd"/>
            <w:r w:rsidRPr="00D76770">
              <w:rPr>
                <w:color w:val="000000"/>
                <w:szCs w:val="20"/>
              </w:rPr>
              <w:t xml:space="preserve"> of NI</w:t>
            </w:r>
            <w:r>
              <w:rPr>
                <w:color w:val="000000"/>
                <w:szCs w:val="20"/>
              </w:rPr>
              <w:t>/</w:t>
            </w:r>
          </w:p>
          <w:p w:rsidR="00A44F5C" w:rsidRPr="00D76770" w:rsidRDefault="00A44F5C" w:rsidP="00714358">
            <w:pPr>
              <w:ind w:right="-86"/>
              <w:jc w:val="center"/>
              <w:rPr>
                <w:i/>
                <w:color w:val="000000"/>
                <w:szCs w:val="20"/>
              </w:rPr>
            </w:pPr>
            <w:proofErr w:type="spellStart"/>
            <w:r>
              <w:rPr>
                <w:color w:val="000000"/>
                <w:szCs w:val="20"/>
              </w:rPr>
              <w:t>StdDev</w:t>
            </w:r>
            <w:proofErr w:type="spellEnd"/>
            <w:r>
              <w:rPr>
                <w:color w:val="000000"/>
                <w:szCs w:val="20"/>
              </w:rPr>
              <w:t xml:space="preserve"> of OCF</w:t>
            </w:r>
          </w:p>
          <w:p w:rsidR="00A44F5C" w:rsidRPr="00D76770" w:rsidRDefault="00A44F5C" w:rsidP="00714358">
            <w:pPr>
              <w:ind w:left="902" w:right="-90"/>
              <w:rPr>
                <w:color w:val="000000"/>
                <w:szCs w:val="20"/>
              </w:rPr>
            </w:pPr>
          </w:p>
        </w:tc>
        <w:tc>
          <w:tcPr>
            <w:tcW w:w="815" w:type="pct"/>
            <w:vMerge w:val="restart"/>
            <w:tcBorders>
              <w:left w:val="single" w:sz="4" w:space="0" w:color="auto"/>
              <w:right w:val="single" w:sz="4" w:space="0" w:color="auto"/>
            </w:tcBorders>
            <w:vAlign w:val="center"/>
          </w:tcPr>
          <w:p w:rsidR="00A44F5C" w:rsidRPr="00D76770" w:rsidRDefault="00A44F5C" w:rsidP="00714358">
            <w:pPr>
              <w:ind w:right="-90"/>
              <w:jc w:val="center"/>
              <w:rPr>
                <w:b/>
                <w:color w:val="000000"/>
                <w:szCs w:val="20"/>
              </w:rPr>
            </w:pPr>
            <w:r w:rsidRPr="009B2C6F">
              <w:rPr>
                <w:b/>
                <w:color w:val="000000"/>
                <w:szCs w:val="20"/>
              </w:rPr>
              <w:t>+</w:t>
            </w:r>
          </w:p>
        </w:tc>
        <w:tc>
          <w:tcPr>
            <w:tcW w:w="831" w:type="pct"/>
            <w:tcBorders>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Non-Segment</w:t>
            </w:r>
          </w:p>
        </w:tc>
        <w:tc>
          <w:tcPr>
            <w:tcW w:w="630" w:type="pct"/>
            <w:tcBorders>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0.6858</w:t>
            </w:r>
          </w:p>
          <w:p w:rsidR="00A44F5C" w:rsidRPr="00F508A0" w:rsidRDefault="00A44F5C" w:rsidP="00714358">
            <w:pPr>
              <w:ind w:right="-90"/>
              <w:jc w:val="center"/>
              <w:rPr>
                <w:color w:val="000000"/>
              </w:rPr>
            </w:pPr>
          </w:p>
        </w:tc>
        <w:tc>
          <w:tcPr>
            <w:tcW w:w="631" w:type="pct"/>
            <w:tcBorders>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0.6944</w:t>
            </w:r>
          </w:p>
          <w:p w:rsidR="00A44F5C" w:rsidRPr="00F508A0" w:rsidRDefault="00A44F5C" w:rsidP="00714358">
            <w:pPr>
              <w:ind w:right="-90"/>
              <w:jc w:val="center"/>
              <w:rPr>
                <w:color w:val="000000"/>
              </w:rPr>
            </w:pPr>
          </w:p>
        </w:tc>
        <w:tc>
          <w:tcPr>
            <w:tcW w:w="630" w:type="pct"/>
            <w:tcBorders>
              <w:left w:val="single" w:sz="4" w:space="0" w:color="auto"/>
              <w:bottom w:val="single" w:sz="4" w:space="0" w:color="auto"/>
              <w:right w:val="single" w:sz="4" w:space="0" w:color="auto"/>
            </w:tcBorders>
          </w:tcPr>
          <w:p w:rsidR="00A44F5C" w:rsidRPr="00F508A0" w:rsidRDefault="00A44F5C" w:rsidP="00714358">
            <w:pPr>
              <w:ind w:right="-90"/>
              <w:rPr>
                <w:color w:val="000000"/>
              </w:rPr>
            </w:pPr>
            <w:r>
              <w:rPr>
                <w:color w:val="000000"/>
              </w:rPr>
              <w:t xml:space="preserve">       </w:t>
            </w:r>
            <w:r w:rsidRPr="00F508A0">
              <w:rPr>
                <w:color w:val="000000"/>
              </w:rPr>
              <w:t>0.0086</w:t>
            </w:r>
          </w:p>
        </w:tc>
        <w:tc>
          <w:tcPr>
            <w:tcW w:w="631" w:type="pct"/>
            <w:vMerge w:val="restart"/>
            <w:tcBorders>
              <w:left w:val="single" w:sz="4" w:space="0" w:color="auto"/>
              <w:bottom w:val="single" w:sz="4" w:space="0" w:color="auto"/>
              <w:right w:val="nil"/>
            </w:tcBorders>
            <w:vAlign w:val="bottom"/>
          </w:tcPr>
          <w:p w:rsidR="00A44F5C" w:rsidRPr="00F508A0" w:rsidRDefault="008A69A4" w:rsidP="008A69A4">
            <w:pPr>
              <w:ind w:right="-90"/>
              <w:rPr>
                <w:color w:val="000000"/>
              </w:rPr>
            </w:pPr>
            <w:r>
              <w:rPr>
                <w:color w:val="000000"/>
              </w:rPr>
              <w:t xml:space="preserve">   </w:t>
            </w:r>
            <w:r w:rsidR="00A44F5C" w:rsidRPr="00F508A0">
              <w:rPr>
                <w:color w:val="000000"/>
              </w:rPr>
              <w:t>0.1387</w:t>
            </w:r>
            <w:r w:rsidR="00A44F5C">
              <w:rPr>
                <w:color w:val="000000"/>
              </w:rPr>
              <w:t>*</w:t>
            </w:r>
          </w:p>
        </w:tc>
      </w:tr>
      <w:tr w:rsidR="00A44F5C" w:rsidRPr="00D76770" w:rsidTr="002003A4">
        <w:trPr>
          <w:trHeight w:hRule="exact" w:val="317"/>
          <w:jc w:val="center"/>
        </w:trPr>
        <w:tc>
          <w:tcPr>
            <w:tcW w:w="832" w:type="pct"/>
            <w:vMerge/>
            <w:tcBorders>
              <w:left w:val="nil"/>
              <w:right w:val="single" w:sz="4" w:space="0" w:color="auto"/>
            </w:tcBorders>
            <w:vAlign w:val="center"/>
          </w:tcPr>
          <w:p w:rsidR="00A44F5C" w:rsidRPr="00D76770" w:rsidRDefault="00A44F5C" w:rsidP="00714358">
            <w:pPr>
              <w:ind w:left="902" w:right="-90"/>
              <w:rPr>
                <w:b/>
                <w:i/>
                <w:color w:val="000000"/>
                <w:szCs w:val="20"/>
              </w:rPr>
            </w:pPr>
          </w:p>
        </w:tc>
        <w:tc>
          <w:tcPr>
            <w:tcW w:w="815" w:type="pct"/>
            <w:vMerge/>
            <w:tcBorders>
              <w:left w:val="single" w:sz="4" w:space="0" w:color="auto"/>
              <w:right w:val="single" w:sz="4" w:space="0" w:color="auto"/>
            </w:tcBorders>
            <w:vAlign w:val="center"/>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Segment</w:t>
            </w: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0.6454</w:t>
            </w:r>
          </w:p>
          <w:p w:rsidR="00A44F5C" w:rsidRPr="00F508A0" w:rsidRDefault="00A44F5C" w:rsidP="00714358">
            <w:pPr>
              <w:ind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0.7927</w:t>
            </w:r>
          </w:p>
          <w:p w:rsidR="00A44F5C" w:rsidRPr="00F508A0" w:rsidRDefault="00A44F5C" w:rsidP="00714358">
            <w:pPr>
              <w:ind w:right="-90"/>
              <w:jc w:val="center"/>
              <w:rPr>
                <w:color w:val="000000"/>
              </w:rPr>
            </w:pP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ind w:right="-90"/>
              <w:jc w:val="center"/>
              <w:rPr>
                <w:color w:val="000000"/>
              </w:rPr>
            </w:pPr>
            <w:r>
              <w:rPr>
                <w:color w:val="000000"/>
              </w:rPr>
              <w:t xml:space="preserve">   </w:t>
            </w:r>
            <w:r w:rsidRPr="00F508A0">
              <w:rPr>
                <w:color w:val="000000"/>
              </w:rPr>
              <w:t>0.1473</w:t>
            </w:r>
            <w:r>
              <w:rPr>
                <w:color w:val="000000"/>
              </w:rPr>
              <w:t>**</w:t>
            </w:r>
          </w:p>
        </w:tc>
        <w:tc>
          <w:tcPr>
            <w:tcW w:w="631" w:type="pct"/>
            <w:vMerge/>
            <w:tcBorders>
              <w:left w:val="single" w:sz="4" w:space="0" w:color="auto"/>
              <w:bottom w:val="single" w:sz="4" w:space="0" w:color="auto"/>
              <w:right w:val="nil"/>
            </w:tcBorders>
            <w:vAlign w:val="center"/>
          </w:tcPr>
          <w:p w:rsidR="00A44F5C" w:rsidRPr="00F508A0" w:rsidRDefault="00A44F5C" w:rsidP="00714358">
            <w:pPr>
              <w:ind w:left="464" w:right="-90"/>
              <w:jc w:val="center"/>
              <w:rPr>
                <w:color w:val="000000"/>
                <w:sz w:val="20"/>
              </w:rPr>
            </w:pPr>
          </w:p>
        </w:tc>
      </w:tr>
      <w:tr w:rsidR="00A44F5C" w:rsidRPr="00D76770" w:rsidTr="002003A4">
        <w:trPr>
          <w:trHeight w:hRule="exact" w:val="144"/>
          <w:jc w:val="center"/>
        </w:trPr>
        <w:tc>
          <w:tcPr>
            <w:tcW w:w="832" w:type="pct"/>
            <w:vMerge/>
            <w:tcBorders>
              <w:left w:val="nil"/>
              <w:right w:val="single" w:sz="4" w:space="0" w:color="auto"/>
            </w:tcBorders>
          </w:tcPr>
          <w:p w:rsidR="00A44F5C" w:rsidRPr="00D76770" w:rsidRDefault="00A44F5C" w:rsidP="00714358">
            <w:pPr>
              <w:ind w:left="902" w:right="-90"/>
              <w:rPr>
                <w:i/>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ind w:left="87" w:right="-90"/>
              <w:jc w:val="center"/>
              <w:rPr>
                <w:color w:val="000000"/>
                <w:sz w:val="20"/>
              </w:rPr>
            </w:pPr>
          </w:p>
        </w:tc>
        <w:tc>
          <w:tcPr>
            <w:tcW w:w="631"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ind w:left="428" w:right="-90"/>
              <w:jc w:val="center"/>
              <w:rPr>
                <w:color w:val="000000"/>
                <w:sz w:val="20"/>
              </w:rPr>
            </w:pP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ind w:right="-90"/>
              <w:rPr>
                <w:color w:val="000000"/>
                <w:sz w:val="20"/>
              </w:rPr>
            </w:pPr>
          </w:p>
        </w:tc>
        <w:tc>
          <w:tcPr>
            <w:tcW w:w="631" w:type="pct"/>
            <w:tcBorders>
              <w:top w:val="single" w:sz="4" w:space="0" w:color="auto"/>
              <w:left w:val="single" w:sz="4" w:space="0" w:color="auto"/>
              <w:bottom w:val="single" w:sz="4" w:space="0" w:color="auto"/>
              <w:right w:val="nil"/>
            </w:tcBorders>
          </w:tcPr>
          <w:p w:rsidR="00A44F5C" w:rsidRPr="00F508A0" w:rsidRDefault="00A44F5C" w:rsidP="00714358">
            <w:pPr>
              <w:ind w:right="-90"/>
              <w:jc w:val="right"/>
              <w:rPr>
                <w:color w:val="000000"/>
                <w:sz w:val="20"/>
              </w:rPr>
            </w:pPr>
          </w:p>
        </w:tc>
      </w:tr>
      <w:tr w:rsidR="00A44F5C" w:rsidRPr="004723A2"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i/>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Non-Segment</w:t>
            </w: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0.6858</w:t>
            </w:r>
          </w:p>
          <w:p w:rsidR="00A44F5C" w:rsidRPr="00F508A0" w:rsidRDefault="00A44F5C" w:rsidP="00714358">
            <w:pPr>
              <w:ind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0.6944</w:t>
            </w:r>
          </w:p>
          <w:p w:rsidR="00A44F5C" w:rsidRPr="00F508A0" w:rsidRDefault="00A44F5C" w:rsidP="00714358">
            <w:pPr>
              <w:ind w:right="-90"/>
              <w:jc w:val="center"/>
              <w:rPr>
                <w:color w:val="000000"/>
              </w:rPr>
            </w:pP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4A564A">
            <w:pPr>
              <w:ind w:right="-90"/>
              <w:rPr>
                <w:color w:val="000000"/>
              </w:rPr>
            </w:pPr>
            <w:r w:rsidRPr="00F508A0">
              <w:rPr>
                <w:color w:val="000000"/>
              </w:rPr>
              <w:t xml:space="preserve">    </w:t>
            </w:r>
            <w:r>
              <w:rPr>
                <w:color w:val="000000"/>
              </w:rPr>
              <w:t xml:space="preserve">   </w:t>
            </w:r>
            <w:r w:rsidRPr="00F508A0">
              <w:rPr>
                <w:color w:val="000000"/>
              </w:rPr>
              <w:t>0.0086</w:t>
            </w:r>
          </w:p>
        </w:tc>
        <w:tc>
          <w:tcPr>
            <w:tcW w:w="631" w:type="pct"/>
            <w:vMerge w:val="restart"/>
            <w:tcBorders>
              <w:top w:val="single" w:sz="4" w:space="0" w:color="auto"/>
              <w:left w:val="single" w:sz="4" w:space="0" w:color="auto"/>
              <w:right w:val="nil"/>
            </w:tcBorders>
            <w:vAlign w:val="bottom"/>
          </w:tcPr>
          <w:p w:rsidR="00A44F5C" w:rsidRPr="004723A2" w:rsidRDefault="008A69A4" w:rsidP="008A69A4">
            <w:pPr>
              <w:ind w:right="-90"/>
              <w:rPr>
                <w:color w:val="000000"/>
              </w:rPr>
            </w:pPr>
            <w:r>
              <w:rPr>
                <w:color w:val="000000"/>
              </w:rPr>
              <w:t xml:space="preserve">   </w:t>
            </w:r>
            <w:r w:rsidR="00A44F5C" w:rsidRPr="004723A2">
              <w:rPr>
                <w:color w:val="000000"/>
              </w:rPr>
              <w:t>0.1023</w:t>
            </w:r>
          </w:p>
        </w:tc>
      </w:tr>
      <w:tr w:rsidR="00A44F5C" w:rsidRPr="00D76770"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i/>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roofErr w:type="spellStart"/>
            <w:r w:rsidRPr="00D76770">
              <w:rPr>
                <w:color w:val="000000"/>
              </w:rPr>
              <w:t>SegmentLowCompl</w:t>
            </w:r>
            <w:proofErr w:type="spellEnd"/>
          </w:p>
        </w:tc>
        <w:tc>
          <w:tcPr>
            <w:tcW w:w="630" w:type="pct"/>
            <w:tcBorders>
              <w:top w:val="single" w:sz="4" w:space="0" w:color="auto"/>
              <w:left w:val="single" w:sz="4" w:space="0" w:color="auto"/>
              <w:bottom w:val="single" w:sz="4" w:space="0" w:color="auto"/>
              <w:right w:val="single" w:sz="4" w:space="0" w:color="auto"/>
            </w:tcBorders>
          </w:tcPr>
          <w:p w:rsidR="00A44F5C" w:rsidRPr="004723A2" w:rsidRDefault="00A44F5C" w:rsidP="00714358">
            <w:pPr>
              <w:jc w:val="center"/>
              <w:rPr>
                <w:color w:val="000000"/>
              </w:rPr>
            </w:pPr>
            <w:r w:rsidRPr="004723A2">
              <w:rPr>
                <w:color w:val="000000"/>
              </w:rPr>
              <w:t>0.7055</w:t>
            </w:r>
          </w:p>
          <w:p w:rsidR="00A44F5C" w:rsidRPr="004723A2" w:rsidRDefault="00A44F5C" w:rsidP="00714358">
            <w:pPr>
              <w:ind w:left="87"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tcPr>
          <w:p w:rsidR="00A44F5C" w:rsidRPr="004723A2" w:rsidRDefault="00A44F5C" w:rsidP="00714358">
            <w:pPr>
              <w:jc w:val="center"/>
              <w:rPr>
                <w:color w:val="000000"/>
              </w:rPr>
            </w:pPr>
            <w:r w:rsidRPr="004723A2">
              <w:rPr>
                <w:color w:val="000000"/>
              </w:rPr>
              <w:t>0.8164</w:t>
            </w:r>
          </w:p>
        </w:tc>
        <w:tc>
          <w:tcPr>
            <w:tcW w:w="630" w:type="pct"/>
            <w:tcBorders>
              <w:top w:val="single" w:sz="4" w:space="0" w:color="auto"/>
              <w:left w:val="single" w:sz="4" w:space="0" w:color="auto"/>
              <w:bottom w:val="single" w:sz="4" w:space="0" w:color="auto"/>
              <w:right w:val="single" w:sz="4" w:space="0" w:color="auto"/>
            </w:tcBorders>
          </w:tcPr>
          <w:p w:rsidR="00A44F5C" w:rsidRPr="004723A2" w:rsidRDefault="00A44F5C" w:rsidP="00714358">
            <w:pPr>
              <w:ind w:right="-90"/>
              <w:jc w:val="center"/>
              <w:rPr>
                <w:color w:val="000000"/>
              </w:rPr>
            </w:pPr>
            <w:r>
              <w:rPr>
                <w:color w:val="000000"/>
              </w:rPr>
              <w:t>0.1109</w:t>
            </w:r>
          </w:p>
        </w:tc>
        <w:tc>
          <w:tcPr>
            <w:tcW w:w="631" w:type="pct"/>
            <w:vMerge/>
            <w:tcBorders>
              <w:left w:val="single" w:sz="4" w:space="0" w:color="auto"/>
              <w:bottom w:val="single" w:sz="4" w:space="0" w:color="auto"/>
              <w:right w:val="nil"/>
            </w:tcBorders>
          </w:tcPr>
          <w:p w:rsidR="00A44F5C" w:rsidRPr="00D76770" w:rsidRDefault="00A44F5C" w:rsidP="00714358">
            <w:pPr>
              <w:ind w:right="-90"/>
              <w:jc w:val="right"/>
              <w:rPr>
                <w:color w:val="000000"/>
                <w:sz w:val="20"/>
              </w:rPr>
            </w:pPr>
          </w:p>
        </w:tc>
      </w:tr>
      <w:tr w:rsidR="00A44F5C" w:rsidRPr="00D76770" w:rsidTr="002003A4">
        <w:trPr>
          <w:trHeight w:hRule="exact" w:val="144"/>
          <w:jc w:val="center"/>
        </w:trPr>
        <w:tc>
          <w:tcPr>
            <w:tcW w:w="832" w:type="pct"/>
            <w:vMerge/>
            <w:tcBorders>
              <w:left w:val="nil"/>
              <w:right w:val="single" w:sz="4" w:space="0" w:color="auto"/>
            </w:tcBorders>
            <w:vAlign w:val="center"/>
          </w:tcPr>
          <w:p w:rsidR="00A44F5C" w:rsidRPr="00D76770" w:rsidRDefault="00A44F5C" w:rsidP="00714358">
            <w:pPr>
              <w:ind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left="87" w:right="-90"/>
              <w:jc w:val="center"/>
              <w:rPr>
                <w:color w:val="000000"/>
                <w:sz w:val="20"/>
              </w:rPr>
            </w:pPr>
          </w:p>
        </w:tc>
        <w:tc>
          <w:tcPr>
            <w:tcW w:w="6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left="429" w:right="-90"/>
              <w:jc w:val="center"/>
              <w:rPr>
                <w:color w:val="000000"/>
                <w:sz w:val="20"/>
              </w:rPr>
            </w:pPr>
          </w:p>
        </w:tc>
        <w:tc>
          <w:tcPr>
            <w:tcW w:w="630"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tabs>
                <w:tab w:val="left" w:pos="1050"/>
              </w:tabs>
              <w:ind w:right="-90"/>
              <w:jc w:val="center"/>
              <w:rPr>
                <w:color w:val="000000"/>
                <w:sz w:val="20"/>
              </w:rPr>
            </w:pPr>
          </w:p>
        </w:tc>
        <w:tc>
          <w:tcPr>
            <w:tcW w:w="631" w:type="pct"/>
            <w:tcBorders>
              <w:top w:val="single" w:sz="4" w:space="0" w:color="auto"/>
              <w:left w:val="single" w:sz="4" w:space="0" w:color="auto"/>
              <w:bottom w:val="single" w:sz="4" w:space="0" w:color="auto"/>
              <w:right w:val="nil"/>
            </w:tcBorders>
            <w:vAlign w:val="center"/>
          </w:tcPr>
          <w:p w:rsidR="00A44F5C" w:rsidRPr="00D76770" w:rsidRDefault="00A44F5C" w:rsidP="00714358">
            <w:pPr>
              <w:ind w:left="554" w:right="-90"/>
              <w:jc w:val="center"/>
              <w:rPr>
                <w:color w:val="000000"/>
                <w:sz w:val="20"/>
              </w:rPr>
            </w:pPr>
          </w:p>
        </w:tc>
      </w:tr>
      <w:tr w:rsidR="00A44F5C" w:rsidRPr="00D76770" w:rsidTr="002003A4">
        <w:trPr>
          <w:trHeight w:hRule="exact" w:val="317"/>
          <w:jc w:val="center"/>
        </w:trPr>
        <w:tc>
          <w:tcPr>
            <w:tcW w:w="832" w:type="pct"/>
            <w:vMerge/>
            <w:tcBorders>
              <w:left w:val="nil"/>
              <w:right w:val="single" w:sz="4" w:space="0" w:color="auto"/>
            </w:tcBorders>
            <w:vAlign w:val="center"/>
          </w:tcPr>
          <w:p w:rsidR="00A44F5C" w:rsidRPr="00D76770" w:rsidRDefault="00A44F5C" w:rsidP="00714358">
            <w:pPr>
              <w:ind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Pr>
                <w:color w:val="000000"/>
              </w:rPr>
              <w:t>Non-Seg</w:t>
            </w:r>
            <w:r w:rsidRPr="00D76770">
              <w:rPr>
                <w:color w:val="000000"/>
              </w:rPr>
              <w:t>ment</w:t>
            </w: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0.6858</w:t>
            </w:r>
          </w:p>
          <w:p w:rsidR="00A44F5C" w:rsidRPr="00F508A0" w:rsidRDefault="00A44F5C" w:rsidP="00714358">
            <w:pPr>
              <w:ind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jc w:val="center"/>
              <w:rPr>
                <w:color w:val="000000"/>
              </w:rPr>
            </w:pPr>
            <w:r w:rsidRPr="00F508A0">
              <w:rPr>
                <w:color w:val="000000"/>
              </w:rPr>
              <w:t>0.6944</w:t>
            </w:r>
          </w:p>
          <w:p w:rsidR="00A44F5C" w:rsidRPr="00F508A0" w:rsidRDefault="00A44F5C" w:rsidP="00714358">
            <w:pPr>
              <w:ind w:right="-90"/>
              <w:jc w:val="center"/>
              <w:rPr>
                <w:color w:val="000000"/>
              </w:rPr>
            </w:pPr>
          </w:p>
        </w:tc>
        <w:tc>
          <w:tcPr>
            <w:tcW w:w="630" w:type="pct"/>
            <w:tcBorders>
              <w:top w:val="single" w:sz="4" w:space="0" w:color="auto"/>
              <w:left w:val="single" w:sz="4" w:space="0" w:color="auto"/>
              <w:bottom w:val="single" w:sz="4" w:space="0" w:color="auto"/>
              <w:right w:val="single" w:sz="4" w:space="0" w:color="auto"/>
            </w:tcBorders>
          </w:tcPr>
          <w:p w:rsidR="00A44F5C" w:rsidRPr="00F508A0" w:rsidRDefault="00A44F5C" w:rsidP="00714358">
            <w:pPr>
              <w:ind w:right="-90"/>
              <w:rPr>
                <w:color w:val="000000"/>
              </w:rPr>
            </w:pPr>
            <w:r w:rsidRPr="00F508A0">
              <w:rPr>
                <w:color w:val="000000"/>
              </w:rPr>
              <w:t xml:space="preserve">    </w:t>
            </w:r>
            <w:r w:rsidR="004A564A">
              <w:rPr>
                <w:color w:val="000000"/>
              </w:rPr>
              <w:t xml:space="preserve">  </w:t>
            </w:r>
            <w:r w:rsidRPr="00F508A0">
              <w:rPr>
                <w:color w:val="000000"/>
              </w:rPr>
              <w:t xml:space="preserve"> 0.0086</w:t>
            </w:r>
          </w:p>
        </w:tc>
        <w:tc>
          <w:tcPr>
            <w:tcW w:w="631" w:type="pct"/>
            <w:vMerge w:val="restart"/>
            <w:tcBorders>
              <w:top w:val="single" w:sz="4" w:space="0" w:color="auto"/>
              <w:left w:val="single" w:sz="4" w:space="0" w:color="auto"/>
              <w:right w:val="nil"/>
            </w:tcBorders>
            <w:vAlign w:val="bottom"/>
          </w:tcPr>
          <w:p w:rsidR="00A44F5C" w:rsidRPr="00D76770" w:rsidRDefault="008A69A4" w:rsidP="008A69A4">
            <w:pPr>
              <w:ind w:right="-90"/>
              <w:rPr>
                <w:color w:val="000000"/>
                <w:sz w:val="20"/>
              </w:rPr>
            </w:pPr>
            <w:r>
              <w:rPr>
                <w:color w:val="000000"/>
              </w:rPr>
              <w:t xml:space="preserve">   </w:t>
            </w:r>
            <w:r w:rsidR="00A44F5C" w:rsidRPr="00176232">
              <w:rPr>
                <w:color w:val="000000"/>
              </w:rPr>
              <w:t>0.1602</w:t>
            </w:r>
            <w:r w:rsidR="00A44F5C">
              <w:rPr>
                <w:color w:val="000000"/>
              </w:rPr>
              <w:t>*</w:t>
            </w:r>
          </w:p>
        </w:tc>
      </w:tr>
      <w:tr w:rsidR="00A44F5C" w:rsidRPr="00D76770" w:rsidTr="002003A4">
        <w:trPr>
          <w:trHeight w:hRule="exact" w:val="317"/>
          <w:jc w:val="center"/>
        </w:trPr>
        <w:tc>
          <w:tcPr>
            <w:tcW w:w="832" w:type="pct"/>
            <w:vMerge/>
            <w:tcBorders>
              <w:left w:val="nil"/>
              <w:right w:val="single" w:sz="4" w:space="0" w:color="auto"/>
            </w:tcBorders>
            <w:vAlign w:val="center"/>
          </w:tcPr>
          <w:p w:rsidR="00A44F5C" w:rsidRPr="00D76770" w:rsidRDefault="00A44F5C" w:rsidP="00714358">
            <w:pPr>
              <w:ind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12" w:space="0" w:color="auto"/>
              <w:right w:val="single" w:sz="4" w:space="0" w:color="auto"/>
            </w:tcBorders>
          </w:tcPr>
          <w:p w:rsidR="00A44F5C" w:rsidRPr="00D76770" w:rsidRDefault="00A44F5C" w:rsidP="00714358">
            <w:pPr>
              <w:ind w:right="-90"/>
              <w:rPr>
                <w:color w:val="000000"/>
              </w:rPr>
            </w:pPr>
            <w:proofErr w:type="spellStart"/>
            <w:r w:rsidRPr="00D76770">
              <w:rPr>
                <w:color w:val="000000"/>
              </w:rPr>
              <w:t>SegmentHighCompl</w:t>
            </w:r>
            <w:proofErr w:type="spellEnd"/>
          </w:p>
        </w:tc>
        <w:tc>
          <w:tcPr>
            <w:tcW w:w="630" w:type="pct"/>
            <w:tcBorders>
              <w:top w:val="single" w:sz="4" w:space="0" w:color="auto"/>
              <w:left w:val="single" w:sz="4" w:space="0" w:color="auto"/>
              <w:bottom w:val="single" w:sz="12" w:space="0" w:color="auto"/>
              <w:right w:val="single" w:sz="4" w:space="0" w:color="auto"/>
            </w:tcBorders>
          </w:tcPr>
          <w:p w:rsidR="00A44F5C" w:rsidRPr="00F508A0" w:rsidRDefault="00A44F5C" w:rsidP="00714358">
            <w:pPr>
              <w:jc w:val="center"/>
              <w:rPr>
                <w:color w:val="000000"/>
              </w:rPr>
            </w:pPr>
            <w:r w:rsidRPr="00F508A0">
              <w:rPr>
                <w:color w:val="000000"/>
              </w:rPr>
              <w:t>0.6127</w:t>
            </w:r>
          </w:p>
          <w:p w:rsidR="00A44F5C" w:rsidRPr="00F508A0" w:rsidRDefault="00A44F5C" w:rsidP="00714358">
            <w:pPr>
              <w:ind w:left="87" w:right="-90"/>
              <w:jc w:val="center"/>
              <w:rPr>
                <w:color w:val="000000"/>
              </w:rPr>
            </w:pPr>
          </w:p>
        </w:tc>
        <w:tc>
          <w:tcPr>
            <w:tcW w:w="631" w:type="pct"/>
            <w:tcBorders>
              <w:top w:val="single" w:sz="4" w:space="0" w:color="auto"/>
              <w:left w:val="single" w:sz="4" w:space="0" w:color="auto"/>
              <w:bottom w:val="single" w:sz="12" w:space="0" w:color="auto"/>
              <w:right w:val="single" w:sz="4" w:space="0" w:color="auto"/>
            </w:tcBorders>
          </w:tcPr>
          <w:p w:rsidR="00A44F5C" w:rsidRPr="00F508A0" w:rsidRDefault="00A44F5C" w:rsidP="00714358">
            <w:pPr>
              <w:jc w:val="center"/>
              <w:rPr>
                <w:color w:val="000000"/>
              </w:rPr>
            </w:pPr>
            <w:r w:rsidRPr="00F508A0">
              <w:rPr>
                <w:color w:val="000000"/>
              </w:rPr>
              <w:t>0.7815</w:t>
            </w:r>
          </w:p>
          <w:p w:rsidR="00A44F5C" w:rsidRPr="00F508A0" w:rsidRDefault="00A44F5C" w:rsidP="00714358">
            <w:pPr>
              <w:ind w:right="-90"/>
              <w:rPr>
                <w:color w:val="000000"/>
              </w:rPr>
            </w:pPr>
          </w:p>
        </w:tc>
        <w:tc>
          <w:tcPr>
            <w:tcW w:w="630" w:type="pct"/>
            <w:tcBorders>
              <w:top w:val="single" w:sz="4" w:space="0" w:color="auto"/>
              <w:left w:val="single" w:sz="4" w:space="0" w:color="auto"/>
              <w:bottom w:val="single" w:sz="12" w:space="0" w:color="auto"/>
              <w:right w:val="single" w:sz="4" w:space="0" w:color="auto"/>
            </w:tcBorders>
          </w:tcPr>
          <w:p w:rsidR="00A44F5C" w:rsidRPr="00F508A0" w:rsidRDefault="00A44F5C" w:rsidP="00714358">
            <w:pPr>
              <w:tabs>
                <w:tab w:val="left" w:pos="1050"/>
              </w:tabs>
              <w:ind w:right="-90"/>
              <w:rPr>
                <w:color w:val="000000"/>
              </w:rPr>
            </w:pPr>
            <w:r>
              <w:rPr>
                <w:color w:val="000000"/>
              </w:rPr>
              <w:t xml:space="preserve">     </w:t>
            </w:r>
            <w:r w:rsidR="004A564A">
              <w:rPr>
                <w:color w:val="000000"/>
              </w:rPr>
              <w:t xml:space="preserve">  </w:t>
            </w:r>
            <w:r>
              <w:rPr>
                <w:color w:val="000000"/>
              </w:rPr>
              <w:t>0.1688**</w:t>
            </w:r>
          </w:p>
        </w:tc>
        <w:tc>
          <w:tcPr>
            <w:tcW w:w="631" w:type="pct"/>
            <w:vMerge/>
            <w:tcBorders>
              <w:left w:val="single" w:sz="4" w:space="0" w:color="auto"/>
              <w:bottom w:val="single" w:sz="12" w:space="0" w:color="auto"/>
              <w:right w:val="nil"/>
            </w:tcBorders>
            <w:vAlign w:val="center"/>
          </w:tcPr>
          <w:p w:rsidR="00A44F5C" w:rsidRPr="00D76770" w:rsidRDefault="00A44F5C" w:rsidP="00714358">
            <w:pPr>
              <w:ind w:left="554" w:right="-90"/>
              <w:jc w:val="center"/>
              <w:rPr>
                <w:color w:val="000000"/>
                <w:sz w:val="20"/>
              </w:rPr>
            </w:pPr>
          </w:p>
        </w:tc>
      </w:tr>
      <w:tr w:rsidR="00A44F5C" w:rsidRPr="00D76770" w:rsidTr="002003A4">
        <w:trPr>
          <w:trHeight w:hRule="exact" w:val="317"/>
          <w:jc w:val="center"/>
        </w:trPr>
        <w:tc>
          <w:tcPr>
            <w:tcW w:w="832" w:type="pct"/>
            <w:tcBorders>
              <w:left w:val="nil"/>
              <w:right w:val="single" w:sz="4" w:space="0" w:color="auto"/>
            </w:tcBorders>
            <w:vAlign w:val="center"/>
          </w:tcPr>
          <w:p w:rsidR="00A44F5C" w:rsidRPr="00C12136" w:rsidRDefault="00A44F5C" w:rsidP="00714358">
            <w:pPr>
              <w:ind w:right="-86"/>
              <w:jc w:val="center"/>
              <w:rPr>
                <w:color w:val="000000"/>
                <w:szCs w:val="20"/>
              </w:rPr>
            </w:pPr>
          </w:p>
        </w:tc>
        <w:tc>
          <w:tcPr>
            <w:tcW w:w="815" w:type="pct"/>
            <w:tcBorders>
              <w:left w:val="single" w:sz="4" w:space="0" w:color="auto"/>
              <w:right w:val="single" w:sz="4" w:space="0" w:color="auto"/>
            </w:tcBorders>
            <w:vAlign w:val="center"/>
          </w:tcPr>
          <w:p w:rsidR="00A44F5C" w:rsidRPr="009B2C6F" w:rsidRDefault="00A44F5C" w:rsidP="00714358">
            <w:pPr>
              <w:ind w:right="-90"/>
              <w:jc w:val="center"/>
              <w:rPr>
                <w:b/>
                <w:color w:val="000000"/>
                <w:szCs w:val="20"/>
              </w:rPr>
            </w:pPr>
          </w:p>
        </w:tc>
        <w:tc>
          <w:tcPr>
            <w:tcW w:w="831" w:type="pct"/>
            <w:tcBorders>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left w:val="single" w:sz="4" w:space="0" w:color="auto"/>
              <w:bottom w:val="single" w:sz="4" w:space="0" w:color="auto"/>
              <w:right w:val="single" w:sz="4" w:space="0" w:color="auto"/>
            </w:tcBorders>
          </w:tcPr>
          <w:p w:rsidR="00A44F5C" w:rsidRPr="00D76770" w:rsidRDefault="00A44F5C" w:rsidP="00714358">
            <w:pPr>
              <w:ind w:left="87" w:right="-90"/>
              <w:jc w:val="center"/>
              <w:rPr>
                <w:color w:val="000000"/>
                <w:sz w:val="20"/>
              </w:rPr>
            </w:pPr>
          </w:p>
        </w:tc>
        <w:tc>
          <w:tcPr>
            <w:tcW w:w="631" w:type="pct"/>
            <w:tcBorders>
              <w:left w:val="single" w:sz="4" w:space="0" w:color="auto"/>
              <w:bottom w:val="single" w:sz="4" w:space="0" w:color="auto"/>
              <w:right w:val="single" w:sz="4" w:space="0" w:color="auto"/>
            </w:tcBorders>
          </w:tcPr>
          <w:p w:rsidR="00A44F5C" w:rsidRPr="00D76770" w:rsidRDefault="00A44F5C" w:rsidP="00714358">
            <w:pPr>
              <w:ind w:left="428" w:right="-90"/>
              <w:jc w:val="center"/>
              <w:rPr>
                <w:color w:val="000000"/>
                <w:sz w:val="20"/>
              </w:rPr>
            </w:pPr>
          </w:p>
        </w:tc>
        <w:tc>
          <w:tcPr>
            <w:tcW w:w="630" w:type="pct"/>
            <w:tcBorders>
              <w:left w:val="single" w:sz="4" w:space="0" w:color="auto"/>
              <w:bottom w:val="single" w:sz="4" w:space="0" w:color="auto"/>
              <w:right w:val="single" w:sz="4" w:space="0" w:color="auto"/>
            </w:tcBorders>
          </w:tcPr>
          <w:p w:rsidR="00A44F5C" w:rsidRPr="00D76770" w:rsidRDefault="00A44F5C" w:rsidP="00714358">
            <w:pPr>
              <w:ind w:right="-90"/>
              <w:rPr>
                <w:color w:val="000000"/>
                <w:sz w:val="20"/>
              </w:rPr>
            </w:pPr>
          </w:p>
        </w:tc>
        <w:tc>
          <w:tcPr>
            <w:tcW w:w="631" w:type="pct"/>
            <w:tcBorders>
              <w:left w:val="single" w:sz="4" w:space="0" w:color="auto"/>
              <w:right w:val="nil"/>
            </w:tcBorders>
            <w:vAlign w:val="center"/>
          </w:tcPr>
          <w:p w:rsidR="00A44F5C" w:rsidRPr="00D76770" w:rsidRDefault="00A44F5C" w:rsidP="00714358">
            <w:pPr>
              <w:ind w:left="464" w:right="-90"/>
              <w:jc w:val="center"/>
              <w:rPr>
                <w:color w:val="000000"/>
                <w:sz w:val="20"/>
              </w:rPr>
            </w:pPr>
          </w:p>
        </w:tc>
      </w:tr>
      <w:tr w:rsidR="00A44F5C" w:rsidRPr="00D76770" w:rsidTr="002003A4">
        <w:trPr>
          <w:trHeight w:hRule="exact" w:val="317"/>
          <w:jc w:val="center"/>
        </w:trPr>
        <w:tc>
          <w:tcPr>
            <w:tcW w:w="832" w:type="pct"/>
            <w:vMerge w:val="restart"/>
            <w:tcBorders>
              <w:left w:val="nil"/>
              <w:right w:val="single" w:sz="4" w:space="0" w:color="auto"/>
            </w:tcBorders>
            <w:vAlign w:val="center"/>
          </w:tcPr>
          <w:p w:rsidR="00A44F5C" w:rsidRPr="00C12136" w:rsidRDefault="00A44F5C" w:rsidP="00714358">
            <w:pPr>
              <w:ind w:right="-86"/>
              <w:jc w:val="center"/>
              <w:rPr>
                <w:color w:val="000000"/>
                <w:szCs w:val="20"/>
              </w:rPr>
            </w:pPr>
            <w:r w:rsidRPr="00C12136">
              <w:rPr>
                <w:color w:val="000000"/>
                <w:szCs w:val="20"/>
              </w:rPr>
              <w:t>Correlation of</w:t>
            </w:r>
          </w:p>
          <w:p w:rsidR="00A44F5C" w:rsidRPr="009B2C6F" w:rsidRDefault="00A44F5C" w:rsidP="00714358">
            <w:pPr>
              <w:ind w:right="-86"/>
              <w:jc w:val="center"/>
              <w:rPr>
                <w:color w:val="000000"/>
                <w:szCs w:val="20"/>
              </w:rPr>
            </w:pPr>
            <w:r w:rsidRPr="00C12136">
              <w:rPr>
                <w:color w:val="000000"/>
                <w:szCs w:val="20"/>
              </w:rPr>
              <w:t>Accruals and OCF</w:t>
            </w:r>
          </w:p>
          <w:p w:rsidR="00A44F5C" w:rsidRPr="00D76770" w:rsidRDefault="00A44F5C" w:rsidP="00714358">
            <w:pPr>
              <w:ind w:left="902" w:right="-90"/>
              <w:rPr>
                <w:color w:val="000000"/>
                <w:szCs w:val="20"/>
              </w:rPr>
            </w:pPr>
          </w:p>
        </w:tc>
        <w:tc>
          <w:tcPr>
            <w:tcW w:w="815" w:type="pct"/>
            <w:vMerge w:val="restart"/>
            <w:tcBorders>
              <w:left w:val="single" w:sz="4" w:space="0" w:color="auto"/>
              <w:right w:val="single" w:sz="4" w:space="0" w:color="auto"/>
            </w:tcBorders>
            <w:vAlign w:val="center"/>
          </w:tcPr>
          <w:p w:rsidR="00A44F5C" w:rsidRPr="009B2C6F" w:rsidRDefault="00A44F5C" w:rsidP="00714358">
            <w:pPr>
              <w:ind w:right="-90"/>
              <w:jc w:val="center"/>
              <w:rPr>
                <w:b/>
                <w:color w:val="000000"/>
                <w:szCs w:val="20"/>
              </w:rPr>
            </w:pPr>
            <w:r w:rsidRPr="009B2C6F">
              <w:rPr>
                <w:b/>
                <w:color w:val="000000"/>
                <w:szCs w:val="20"/>
              </w:rPr>
              <w:t>+</w:t>
            </w:r>
          </w:p>
        </w:tc>
        <w:tc>
          <w:tcPr>
            <w:tcW w:w="831" w:type="pct"/>
            <w:tcBorders>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Non-Segment</w:t>
            </w:r>
          </w:p>
        </w:tc>
        <w:tc>
          <w:tcPr>
            <w:tcW w:w="630" w:type="pct"/>
            <w:tcBorders>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-0.6646</w:t>
            </w:r>
          </w:p>
        </w:tc>
        <w:tc>
          <w:tcPr>
            <w:tcW w:w="631" w:type="pct"/>
            <w:tcBorders>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-0.6900</w:t>
            </w:r>
          </w:p>
        </w:tc>
        <w:tc>
          <w:tcPr>
            <w:tcW w:w="630" w:type="pct"/>
            <w:tcBorders>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-0.0254</w:t>
            </w:r>
          </w:p>
        </w:tc>
        <w:tc>
          <w:tcPr>
            <w:tcW w:w="631" w:type="pct"/>
            <w:vMerge w:val="restart"/>
            <w:tcBorders>
              <w:left w:val="single" w:sz="4" w:space="0" w:color="auto"/>
              <w:right w:val="nil"/>
            </w:tcBorders>
            <w:vAlign w:val="bottom"/>
          </w:tcPr>
          <w:p w:rsidR="00A44F5C" w:rsidRPr="00D76770" w:rsidRDefault="008A69A4" w:rsidP="008A69A4">
            <w:pPr>
              <w:ind w:right="-90"/>
              <w:rPr>
                <w:color w:val="000000"/>
                <w:sz w:val="20"/>
              </w:rPr>
            </w:pPr>
            <w:r>
              <w:rPr>
                <w:color w:val="000000"/>
              </w:rPr>
              <w:t xml:space="preserve">    </w:t>
            </w:r>
            <w:r w:rsidR="00A44F5C" w:rsidRPr="00D00EC1">
              <w:rPr>
                <w:color w:val="000000"/>
              </w:rPr>
              <w:t>0.2246***</w:t>
            </w:r>
          </w:p>
        </w:tc>
      </w:tr>
      <w:tr w:rsidR="00A44F5C" w:rsidRPr="00D76770" w:rsidTr="002003A4">
        <w:trPr>
          <w:trHeight w:hRule="exact" w:val="317"/>
          <w:jc w:val="center"/>
        </w:trPr>
        <w:tc>
          <w:tcPr>
            <w:tcW w:w="832" w:type="pct"/>
            <w:vMerge/>
            <w:tcBorders>
              <w:left w:val="nil"/>
              <w:right w:val="single" w:sz="4" w:space="0" w:color="auto"/>
            </w:tcBorders>
            <w:vAlign w:val="center"/>
          </w:tcPr>
          <w:p w:rsidR="00A44F5C" w:rsidRPr="00D76770" w:rsidRDefault="00A44F5C" w:rsidP="00714358">
            <w:pPr>
              <w:ind w:left="902" w:right="-90"/>
              <w:rPr>
                <w:b/>
                <w:i/>
                <w:color w:val="000000"/>
                <w:szCs w:val="20"/>
              </w:rPr>
            </w:pPr>
          </w:p>
        </w:tc>
        <w:tc>
          <w:tcPr>
            <w:tcW w:w="815" w:type="pct"/>
            <w:vMerge/>
            <w:tcBorders>
              <w:left w:val="single" w:sz="4" w:space="0" w:color="auto"/>
              <w:right w:val="single" w:sz="4" w:space="0" w:color="auto"/>
            </w:tcBorders>
            <w:vAlign w:val="center"/>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Segment</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-0.7497</w:t>
            </w: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-0.5505</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Pr>
                <w:color w:val="000000"/>
              </w:rPr>
              <w:t xml:space="preserve">       </w:t>
            </w:r>
            <w:r w:rsidRPr="00F508A0">
              <w:rPr>
                <w:color w:val="000000"/>
              </w:rPr>
              <w:t>0.1992***</w:t>
            </w:r>
          </w:p>
        </w:tc>
        <w:tc>
          <w:tcPr>
            <w:tcW w:w="631" w:type="pct"/>
            <w:vMerge/>
            <w:tcBorders>
              <w:left w:val="single" w:sz="4" w:space="0" w:color="auto"/>
              <w:bottom w:val="single" w:sz="4" w:space="0" w:color="auto"/>
              <w:right w:val="nil"/>
            </w:tcBorders>
            <w:vAlign w:val="center"/>
          </w:tcPr>
          <w:p w:rsidR="00A44F5C" w:rsidRPr="00D76770" w:rsidRDefault="00A44F5C" w:rsidP="00714358">
            <w:pPr>
              <w:ind w:left="464" w:right="-90"/>
              <w:jc w:val="center"/>
              <w:rPr>
                <w:color w:val="000000"/>
                <w:sz w:val="20"/>
              </w:rPr>
            </w:pPr>
          </w:p>
        </w:tc>
      </w:tr>
      <w:tr w:rsidR="00A44F5C" w:rsidRPr="00D76770" w:rsidTr="002003A4">
        <w:trPr>
          <w:trHeight w:hRule="exact" w:val="144"/>
          <w:jc w:val="center"/>
        </w:trPr>
        <w:tc>
          <w:tcPr>
            <w:tcW w:w="832" w:type="pct"/>
            <w:vMerge/>
            <w:tcBorders>
              <w:left w:val="nil"/>
              <w:right w:val="single" w:sz="4" w:space="0" w:color="auto"/>
            </w:tcBorders>
          </w:tcPr>
          <w:p w:rsidR="00A44F5C" w:rsidRPr="00D76770" w:rsidRDefault="00A44F5C" w:rsidP="00714358">
            <w:pPr>
              <w:ind w:left="902" w:right="-90"/>
              <w:rPr>
                <w:i/>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left="87"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left="428" w:right="-90"/>
              <w:jc w:val="center"/>
              <w:rPr>
                <w:color w:val="000000"/>
              </w:rPr>
            </w:pP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p>
        </w:tc>
        <w:tc>
          <w:tcPr>
            <w:tcW w:w="631" w:type="pct"/>
            <w:tcBorders>
              <w:top w:val="single" w:sz="4" w:space="0" w:color="auto"/>
              <w:left w:val="single" w:sz="4" w:space="0" w:color="auto"/>
              <w:bottom w:val="single" w:sz="4" w:space="0" w:color="auto"/>
              <w:right w:val="nil"/>
            </w:tcBorders>
          </w:tcPr>
          <w:p w:rsidR="00A44F5C" w:rsidRPr="00D76770" w:rsidRDefault="00A44F5C" w:rsidP="00714358">
            <w:pPr>
              <w:ind w:right="-90"/>
              <w:jc w:val="right"/>
              <w:rPr>
                <w:color w:val="000000"/>
                <w:sz w:val="20"/>
              </w:rPr>
            </w:pPr>
          </w:p>
        </w:tc>
      </w:tr>
      <w:tr w:rsidR="00A44F5C" w:rsidRPr="00FD4239"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i/>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sidRPr="00D76770">
              <w:rPr>
                <w:color w:val="000000"/>
              </w:rPr>
              <w:t>Non-Segment</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-0.6646</w:t>
            </w: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-0.6900</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-0.0254</w:t>
            </w:r>
          </w:p>
        </w:tc>
        <w:tc>
          <w:tcPr>
            <w:tcW w:w="631" w:type="pct"/>
            <w:vMerge w:val="restart"/>
            <w:tcBorders>
              <w:top w:val="single" w:sz="4" w:space="0" w:color="auto"/>
              <w:left w:val="single" w:sz="4" w:space="0" w:color="auto"/>
              <w:right w:val="nil"/>
            </w:tcBorders>
            <w:vAlign w:val="bottom"/>
          </w:tcPr>
          <w:p w:rsidR="00A44F5C" w:rsidRPr="00FD4239" w:rsidRDefault="008A69A4" w:rsidP="008A69A4">
            <w:pPr>
              <w:ind w:right="-90"/>
              <w:rPr>
                <w:color w:val="000000"/>
              </w:rPr>
            </w:pPr>
            <w:r>
              <w:rPr>
                <w:color w:val="000000"/>
              </w:rPr>
              <w:t xml:space="preserve">    </w:t>
            </w:r>
            <w:r w:rsidR="00A44F5C" w:rsidRPr="00FD4239">
              <w:rPr>
                <w:color w:val="000000"/>
              </w:rPr>
              <w:t>0.1138</w:t>
            </w:r>
          </w:p>
        </w:tc>
      </w:tr>
      <w:tr w:rsidR="00A44F5C" w:rsidRPr="00D76770" w:rsidTr="002003A4">
        <w:trPr>
          <w:trHeight w:hRule="exact" w:val="317"/>
          <w:jc w:val="center"/>
        </w:trPr>
        <w:tc>
          <w:tcPr>
            <w:tcW w:w="832" w:type="pct"/>
            <w:vMerge/>
            <w:tcBorders>
              <w:left w:val="nil"/>
              <w:right w:val="single" w:sz="4" w:space="0" w:color="auto"/>
            </w:tcBorders>
          </w:tcPr>
          <w:p w:rsidR="00A44F5C" w:rsidRPr="00D76770" w:rsidRDefault="00A44F5C" w:rsidP="00714358">
            <w:pPr>
              <w:ind w:left="902"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i/>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roofErr w:type="spellStart"/>
            <w:r w:rsidRPr="00D76770">
              <w:rPr>
                <w:color w:val="000000"/>
              </w:rPr>
              <w:t>SegmentLowCompl</w:t>
            </w:r>
            <w:proofErr w:type="spellEnd"/>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left="87" w:right="-90"/>
              <w:jc w:val="center"/>
              <w:rPr>
                <w:color w:val="000000"/>
              </w:rPr>
            </w:pPr>
            <w:r w:rsidRPr="00F508A0">
              <w:rPr>
                <w:color w:val="000000"/>
              </w:rPr>
              <w:t>-0.7278</w:t>
            </w: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rPr>
                <w:i/>
                <w:color w:val="000000"/>
              </w:rPr>
            </w:pPr>
            <w:r>
              <w:rPr>
                <w:color w:val="000000"/>
              </w:rPr>
              <w:t xml:space="preserve">    </w:t>
            </w:r>
            <w:r w:rsidR="004A564A">
              <w:rPr>
                <w:color w:val="000000"/>
              </w:rPr>
              <w:t xml:space="preserve"> </w:t>
            </w:r>
            <w:r>
              <w:rPr>
                <w:color w:val="000000"/>
              </w:rPr>
              <w:t xml:space="preserve"> </w:t>
            </w:r>
            <w:r w:rsidRPr="00F508A0">
              <w:rPr>
                <w:color w:val="000000"/>
              </w:rPr>
              <w:t>-0.6394</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0.0884</w:t>
            </w:r>
          </w:p>
        </w:tc>
        <w:tc>
          <w:tcPr>
            <w:tcW w:w="631" w:type="pct"/>
            <w:vMerge/>
            <w:tcBorders>
              <w:left w:val="single" w:sz="4" w:space="0" w:color="auto"/>
              <w:bottom w:val="single" w:sz="4" w:space="0" w:color="auto"/>
              <w:right w:val="nil"/>
            </w:tcBorders>
          </w:tcPr>
          <w:p w:rsidR="00A44F5C" w:rsidRPr="00D76770" w:rsidRDefault="00A44F5C" w:rsidP="00714358">
            <w:pPr>
              <w:ind w:right="-90"/>
              <w:jc w:val="right"/>
              <w:rPr>
                <w:color w:val="000000"/>
                <w:sz w:val="20"/>
              </w:rPr>
            </w:pPr>
          </w:p>
        </w:tc>
      </w:tr>
      <w:tr w:rsidR="00A44F5C" w:rsidRPr="00D76770" w:rsidTr="002003A4">
        <w:trPr>
          <w:trHeight w:hRule="exact" w:val="144"/>
          <w:jc w:val="center"/>
        </w:trPr>
        <w:tc>
          <w:tcPr>
            <w:tcW w:w="832" w:type="pct"/>
            <w:vMerge/>
            <w:tcBorders>
              <w:left w:val="nil"/>
              <w:right w:val="single" w:sz="4" w:space="0" w:color="auto"/>
            </w:tcBorders>
            <w:vAlign w:val="center"/>
          </w:tcPr>
          <w:p w:rsidR="00A44F5C" w:rsidRPr="00D76770" w:rsidRDefault="00A44F5C" w:rsidP="00714358">
            <w:pPr>
              <w:ind w:right="-90"/>
              <w:rPr>
                <w:color w:val="000000"/>
                <w:szCs w:val="20"/>
              </w:rPr>
            </w:pPr>
          </w:p>
        </w:tc>
        <w:tc>
          <w:tcPr>
            <w:tcW w:w="815" w:type="pct"/>
            <w:vMerge/>
            <w:tcBorders>
              <w:left w:val="single" w:sz="4" w:space="0" w:color="auto"/>
              <w:right w:val="single" w:sz="4" w:space="0" w:color="auto"/>
            </w:tcBorders>
          </w:tcPr>
          <w:p w:rsidR="00A44F5C" w:rsidRPr="00D76770" w:rsidRDefault="00A44F5C" w:rsidP="00714358">
            <w:pPr>
              <w:ind w:right="-90"/>
              <w:jc w:val="center"/>
              <w:rPr>
                <w:color w:val="000000"/>
                <w:szCs w:val="2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left="87" w:right="-90"/>
              <w:jc w:val="center"/>
              <w:rPr>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left="429" w:right="-90"/>
              <w:jc w:val="center"/>
              <w:rPr>
                <w:color w:val="000000"/>
              </w:rPr>
            </w:pP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tabs>
                <w:tab w:val="left" w:pos="1050"/>
              </w:tabs>
              <w:ind w:right="-90"/>
              <w:jc w:val="center"/>
              <w:rPr>
                <w:color w:val="000000"/>
              </w:rPr>
            </w:pPr>
          </w:p>
        </w:tc>
        <w:tc>
          <w:tcPr>
            <w:tcW w:w="631" w:type="pct"/>
            <w:tcBorders>
              <w:top w:val="single" w:sz="4" w:space="0" w:color="auto"/>
              <w:left w:val="single" w:sz="4" w:space="0" w:color="auto"/>
              <w:bottom w:val="single" w:sz="4" w:space="0" w:color="auto"/>
              <w:right w:val="nil"/>
            </w:tcBorders>
            <w:vAlign w:val="center"/>
          </w:tcPr>
          <w:p w:rsidR="00A44F5C" w:rsidRPr="00D76770" w:rsidRDefault="00A44F5C" w:rsidP="00714358">
            <w:pPr>
              <w:ind w:left="554" w:right="-90"/>
              <w:jc w:val="center"/>
              <w:rPr>
                <w:color w:val="000000"/>
                <w:sz w:val="20"/>
              </w:rPr>
            </w:pPr>
          </w:p>
        </w:tc>
      </w:tr>
      <w:tr w:rsidR="00A44F5C" w:rsidRPr="00FD4239" w:rsidTr="008A69A4">
        <w:trPr>
          <w:trHeight w:hRule="exact" w:val="317"/>
          <w:jc w:val="center"/>
        </w:trPr>
        <w:tc>
          <w:tcPr>
            <w:tcW w:w="832" w:type="pct"/>
            <w:vMerge/>
            <w:tcBorders>
              <w:left w:val="nil"/>
              <w:right w:val="single" w:sz="4" w:space="0" w:color="auto"/>
            </w:tcBorders>
            <w:vAlign w:val="center"/>
          </w:tcPr>
          <w:p w:rsidR="00A44F5C" w:rsidRPr="00FD4239" w:rsidRDefault="00A44F5C" w:rsidP="00714358">
            <w:pPr>
              <w:ind w:right="-90"/>
              <w:rPr>
                <w:color w:val="000000"/>
              </w:rPr>
            </w:pPr>
          </w:p>
        </w:tc>
        <w:tc>
          <w:tcPr>
            <w:tcW w:w="815" w:type="pct"/>
            <w:vMerge/>
            <w:tcBorders>
              <w:left w:val="single" w:sz="4" w:space="0" w:color="auto"/>
              <w:right w:val="single" w:sz="4" w:space="0" w:color="auto"/>
            </w:tcBorders>
          </w:tcPr>
          <w:p w:rsidR="00A44F5C" w:rsidRPr="00FD4239" w:rsidRDefault="00A44F5C" w:rsidP="00714358">
            <w:pPr>
              <w:ind w:right="-90"/>
              <w:jc w:val="center"/>
              <w:rPr>
                <w:color w:val="000000"/>
              </w:rPr>
            </w:pPr>
          </w:p>
        </w:tc>
        <w:tc>
          <w:tcPr>
            <w:tcW w:w="831" w:type="pct"/>
            <w:tcBorders>
              <w:top w:val="single" w:sz="4" w:space="0" w:color="auto"/>
              <w:left w:val="single" w:sz="4" w:space="0" w:color="auto"/>
              <w:bottom w:val="single" w:sz="4" w:space="0" w:color="auto"/>
              <w:right w:val="single" w:sz="4" w:space="0" w:color="auto"/>
            </w:tcBorders>
          </w:tcPr>
          <w:p w:rsidR="00A44F5C" w:rsidRPr="00D76770" w:rsidRDefault="00A44F5C" w:rsidP="00714358">
            <w:pPr>
              <w:ind w:right="-90"/>
              <w:rPr>
                <w:color w:val="000000"/>
              </w:rPr>
            </w:pPr>
            <w:r>
              <w:rPr>
                <w:color w:val="000000"/>
              </w:rPr>
              <w:t>Non-Seg</w:t>
            </w:r>
            <w:r w:rsidRPr="00D76770">
              <w:rPr>
                <w:color w:val="000000"/>
              </w:rPr>
              <w:t>ment</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-0.6646</w:t>
            </w:r>
          </w:p>
        </w:tc>
        <w:tc>
          <w:tcPr>
            <w:tcW w:w="631"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-0.6900</w:t>
            </w:r>
          </w:p>
        </w:tc>
        <w:tc>
          <w:tcPr>
            <w:tcW w:w="630" w:type="pct"/>
            <w:tcBorders>
              <w:top w:val="single" w:sz="4" w:space="0" w:color="auto"/>
              <w:left w:val="single" w:sz="4" w:space="0" w:color="auto"/>
              <w:bottom w:val="single" w:sz="4" w:space="0" w:color="auto"/>
              <w:right w:val="single" w:sz="4" w:space="0" w:color="auto"/>
            </w:tcBorders>
            <w:vAlign w:val="center"/>
          </w:tcPr>
          <w:p w:rsidR="00A44F5C" w:rsidRPr="00F508A0" w:rsidRDefault="00A44F5C" w:rsidP="00714358">
            <w:pPr>
              <w:ind w:right="-90"/>
              <w:jc w:val="center"/>
              <w:rPr>
                <w:color w:val="000000"/>
              </w:rPr>
            </w:pPr>
            <w:r w:rsidRPr="00F508A0">
              <w:rPr>
                <w:color w:val="000000"/>
              </w:rPr>
              <w:t>-0.0254</w:t>
            </w:r>
          </w:p>
        </w:tc>
        <w:tc>
          <w:tcPr>
            <w:tcW w:w="631" w:type="pct"/>
            <w:vMerge w:val="restart"/>
            <w:tcBorders>
              <w:top w:val="single" w:sz="4" w:space="0" w:color="auto"/>
              <w:left w:val="single" w:sz="4" w:space="0" w:color="auto"/>
              <w:right w:val="nil"/>
            </w:tcBorders>
            <w:vAlign w:val="bottom"/>
          </w:tcPr>
          <w:p w:rsidR="00A44F5C" w:rsidRPr="00FD4239" w:rsidRDefault="004A564A" w:rsidP="008A69A4">
            <w:pPr>
              <w:ind w:right="-90"/>
              <w:jc w:val="center"/>
              <w:rPr>
                <w:color w:val="000000"/>
              </w:rPr>
            </w:pPr>
            <w:r>
              <w:rPr>
                <w:color w:val="000000"/>
              </w:rPr>
              <w:t xml:space="preserve">                </w:t>
            </w:r>
            <w:r w:rsidR="00A44F5C" w:rsidRPr="00FD4239">
              <w:rPr>
                <w:color w:val="000000"/>
              </w:rPr>
              <w:t>0.2921***</w:t>
            </w:r>
          </w:p>
        </w:tc>
      </w:tr>
      <w:tr w:rsidR="00A44F5C" w:rsidRPr="00FD4239" w:rsidTr="002003A4">
        <w:trPr>
          <w:trHeight w:hRule="exact" w:val="317"/>
          <w:jc w:val="center"/>
        </w:trPr>
        <w:tc>
          <w:tcPr>
            <w:tcW w:w="832" w:type="pct"/>
            <w:vMerge/>
            <w:tcBorders>
              <w:left w:val="nil"/>
              <w:right w:val="single" w:sz="4" w:space="0" w:color="auto"/>
            </w:tcBorders>
            <w:vAlign w:val="center"/>
          </w:tcPr>
          <w:p w:rsidR="00A44F5C" w:rsidRPr="00FD4239" w:rsidRDefault="00A44F5C" w:rsidP="00714358">
            <w:pPr>
              <w:ind w:right="-90"/>
              <w:rPr>
                <w:color w:val="000000"/>
              </w:rPr>
            </w:pPr>
          </w:p>
        </w:tc>
        <w:tc>
          <w:tcPr>
            <w:tcW w:w="815" w:type="pct"/>
            <w:vMerge/>
            <w:tcBorders>
              <w:left w:val="single" w:sz="4" w:space="0" w:color="auto"/>
              <w:right w:val="single" w:sz="4" w:space="0" w:color="auto"/>
            </w:tcBorders>
          </w:tcPr>
          <w:p w:rsidR="00A44F5C" w:rsidRPr="00FD4239" w:rsidRDefault="00A44F5C" w:rsidP="00714358">
            <w:pPr>
              <w:ind w:right="-90"/>
              <w:jc w:val="center"/>
              <w:rPr>
                <w:color w:val="000000"/>
              </w:rPr>
            </w:pPr>
          </w:p>
        </w:tc>
        <w:tc>
          <w:tcPr>
            <w:tcW w:w="831" w:type="pct"/>
            <w:tcBorders>
              <w:top w:val="single" w:sz="4" w:space="0" w:color="auto"/>
              <w:left w:val="single" w:sz="4" w:space="0" w:color="auto"/>
              <w:right w:val="single" w:sz="4" w:space="0" w:color="auto"/>
            </w:tcBorders>
          </w:tcPr>
          <w:p w:rsidR="00A44F5C" w:rsidRPr="00D76770" w:rsidRDefault="00A44F5C" w:rsidP="00714358">
            <w:pPr>
              <w:ind w:right="-90"/>
              <w:rPr>
                <w:color w:val="000000"/>
              </w:rPr>
            </w:pPr>
            <w:proofErr w:type="spellStart"/>
            <w:r w:rsidRPr="00D76770">
              <w:rPr>
                <w:color w:val="000000"/>
              </w:rPr>
              <w:t>SegmentHighCompl</w:t>
            </w:r>
            <w:proofErr w:type="spellEnd"/>
          </w:p>
        </w:tc>
        <w:tc>
          <w:tcPr>
            <w:tcW w:w="630" w:type="pct"/>
            <w:tcBorders>
              <w:top w:val="single" w:sz="4" w:space="0" w:color="auto"/>
              <w:left w:val="single" w:sz="4" w:space="0" w:color="auto"/>
              <w:right w:val="single" w:sz="4" w:space="0" w:color="auto"/>
            </w:tcBorders>
            <w:vAlign w:val="center"/>
          </w:tcPr>
          <w:p w:rsidR="00A44F5C" w:rsidRPr="00F508A0" w:rsidRDefault="00A44F5C" w:rsidP="00714358">
            <w:pPr>
              <w:ind w:left="87" w:right="-90"/>
              <w:jc w:val="center"/>
              <w:rPr>
                <w:color w:val="000000"/>
              </w:rPr>
            </w:pPr>
            <w:r w:rsidRPr="00F508A0">
              <w:rPr>
                <w:color w:val="000000"/>
              </w:rPr>
              <w:t>-0.7626</w:t>
            </w:r>
          </w:p>
        </w:tc>
        <w:tc>
          <w:tcPr>
            <w:tcW w:w="631" w:type="pct"/>
            <w:tcBorders>
              <w:top w:val="single" w:sz="4" w:space="0" w:color="auto"/>
              <w:left w:val="single" w:sz="4" w:space="0" w:color="auto"/>
              <w:right w:val="single" w:sz="4" w:space="0" w:color="auto"/>
            </w:tcBorders>
            <w:vAlign w:val="center"/>
          </w:tcPr>
          <w:p w:rsidR="00A44F5C" w:rsidRPr="00F508A0" w:rsidRDefault="00A44F5C" w:rsidP="00714358">
            <w:pPr>
              <w:ind w:right="-90"/>
              <w:rPr>
                <w:color w:val="000000"/>
              </w:rPr>
            </w:pPr>
            <w:r>
              <w:rPr>
                <w:color w:val="000000"/>
              </w:rPr>
              <w:t xml:space="preserve">     </w:t>
            </w:r>
            <w:r w:rsidR="004A564A">
              <w:rPr>
                <w:color w:val="000000"/>
              </w:rPr>
              <w:t xml:space="preserve"> </w:t>
            </w:r>
            <w:r w:rsidRPr="00F508A0">
              <w:rPr>
                <w:color w:val="000000"/>
              </w:rPr>
              <w:t>-0.4959</w:t>
            </w:r>
          </w:p>
        </w:tc>
        <w:tc>
          <w:tcPr>
            <w:tcW w:w="630" w:type="pct"/>
            <w:tcBorders>
              <w:top w:val="single" w:sz="4" w:space="0" w:color="auto"/>
              <w:left w:val="single" w:sz="4" w:space="0" w:color="auto"/>
              <w:right w:val="single" w:sz="4" w:space="0" w:color="auto"/>
            </w:tcBorders>
            <w:vAlign w:val="center"/>
          </w:tcPr>
          <w:p w:rsidR="00A44F5C" w:rsidRPr="00F508A0" w:rsidRDefault="00A44F5C" w:rsidP="00714358">
            <w:pPr>
              <w:tabs>
                <w:tab w:val="left" w:pos="1050"/>
              </w:tabs>
              <w:ind w:right="-90"/>
              <w:jc w:val="center"/>
              <w:rPr>
                <w:color w:val="000000"/>
              </w:rPr>
            </w:pPr>
            <w:r>
              <w:rPr>
                <w:color w:val="000000"/>
              </w:rPr>
              <w:t xml:space="preserve">  </w:t>
            </w:r>
            <w:r w:rsidR="004A564A">
              <w:rPr>
                <w:color w:val="000000"/>
              </w:rPr>
              <w:t xml:space="preserve">   </w:t>
            </w:r>
            <w:r>
              <w:rPr>
                <w:color w:val="000000"/>
              </w:rPr>
              <w:t xml:space="preserve"> </w:t>
            </w:r>
            <w:r w:rsidR="0062794B" w:rsidRPr="00F508A0">
              <w:rPr>
                <w:color w:val="000000"/>
              </w:rPr>
              <w:t>0.2667***</w:t>
            </w:r>
            <w:r>
              <w:rPr>
                <w:color w:val="000000"/>
              </w:rPr>
              <w:t xml:space="preserve">     </w:t>
            </w:r>
            <w:r w:rsidRPr="00F508A0">
              <w:rPr>
                <w:color w:val="000000"/>
              </w:rPr>
              <w:t>0.2667***</w:t>
            </w:r>
          </w:p>
        </w:tc>
        <w:tc>
          <w:tcPr>
            <w:tcW w:w="631" w:type="pct"/>
            <w:vMerge/>
            <w:tcBorders>
              <w:left w:val="single" w:sz="4" w:space="0" w:color="auto"/>
              <w:right w:val="nil"/>
            </w:tcBorders>
            <w:vAlign w:val="center"/>
          </w:tcPr>
          <w:p w:rsidR="00A44F5C" w:rsidRPr="00FD4239" w:rsidRDefault="00A44F5C" w:rsidP="00714358">
            <w:pPr>
              <w:ind w:left="554" w:right="-90"/>
              <w:jc w:val="center"/>
              <w:rPr>
                <w:color w:val="000000"/>
              </w:rPr>
            </w:pPr>
          </w:p>
        </w:tc>
      </w:tr>
    </w:tbl>
    <w:p w:rsidR="00A44F5C" w:rsidRPr="00A40E27" w:rsidRDefault="00A44F5C" w:rsidP="00A44F5C">
      <w:pPr>
        <w:rPr>
          <w:color w:val="000000"/>
          <w:u w:val="single"/>
        </w:rPr>
      </w:pPr>
    </w:p>
    <w:p w:rsidR="00A44F5C" w:rsidRDefault="00A44F5C" w:rsidP="00A44F5C">
      <w:pPr>
        <w:rPr>
          <w:color w:val="000000"/>
        </w:rPr>
      </w:pPr>
      <w:r w:rsidRPr="00D808D4">
        <w:rPr>
          <w:color w:val="000000"/>
        </w:rPr>
        <w:t>(</w:t>
      </w:r>
      <w:proofErr w:type="gramStart"/>
      <w:r w:rsidRPr="00D808D4">
        <w:rPr>
          <w:color w:val="000000"/>
        </w:rPr>
        <w:t>continues</w:t>
      </w:r>
      <w:proofErr w:type="gramEnd"/>
      <w:r w:rsidRPr="00D808D4">
        <w:rPr>
          <w:color w:val="000000"/>
        </w:rPr>
        <w:t xml:space="preserve"> on next page)</w:t>
      </w:r>
    </w:p>
    <w:p w:rsidR="00C9694E" w:rsidRDefault="00C9694E" w:rsidP="00A44F5C">
      <w:pPr>
        <w:rPr>
          <w:b/>
          <w:color w:val="000000"/>
        </w:rPr>
        <w:sectPr w:rsidR="00C9694E" w:rsidSect="00714358">
          <w:pgSz w:w="15840" w:h="12240" w:orient="landscape"/>
          <w:pgMar w:top="1440" w:right="1440" w:bottom="1440" w:left="1440" w:header="720" w:footer="720" w:gutter="0"/>
          <w:cols w:space="720"/>
          <w:docGrid w:linePitch="360"/>
        </w:sectPr>
      </w:pPr>
    </w:p>
    <w:p w:rsidR="00A44F5C" w:rsidRDefault="00A44F5C" w:rsidP="00A44F5C">
      <w:pPr>
        <w:rPr>
          <w:b/>
          <w:color w:val="000000"/>
        </w:rPr>
      </w:pPr>
      <w:r w:rsidRPr="00A40E27">
        <w:rPr>
          <w:b/>
          <w:color w:val="000000"/>
        </w:rPr>
        <w:lastRenderedPageBreak/>
        <w:t>Table 8</w:t>
      </w:r>
      <w:r>
        <w:rPr>
          <w:b/>
          <w:color w:val="000000"/>
        </w:rPr>
        <w:t xml:space="preserve"> (continued)</w:t>
      </w:r>
    </w:p>
    <w:p w:rsidR="00C9694E" w:rsidRDefault="00C9694E" w:rsidP="00A44F5C">
      <w:pPr>
        <w:rPr>
          <w:b/>
          <w:color w:val="000000"/>
        </w:rPr>
      </w:pPr>
    </w:p>
    <w:p w:rsidR="00A44F5C" w:rsidRPr="00CC790B" w:rsidRDefault="00A44F5C" w:rsidP="00D7405A">
      <w:pPr>
        <w:ind w:right="-104"/>
        <w:jc w:val="both"/>
        <w:rPr>
          <w:szCs w:val="20"/>
        </w:rPr>
      </w:pPr>
      <w:r w:rsidRPr="00CC790B">
        <w:rPr>
          <w:szCs w:val="20"/>
        </w:rPr>
        <w:t>Table 8 includes a comparison between the measures of accounting quality for segment and non-segment companies</w:t>
      </w:r>
      <w:r>
        <w:rPr>
          <w:szCs w:val="20"/>
        </w:rPr>
        <w:t>, non-segment and segment high-complier companies and non-segment and segment low-complier companies</w:t>
      </w:r>
      <w:r w:rsidRPr="00CC790B">
        <w:rPr>
          <w:szCs w:val="20"/>
        </w:rPr>
        <w:t xml:space="preserve"> in the pre- and po</w:t>
      </w:r>
      <w:r>
        <w:rPr>
          <w:szCs w:val="20"/>
        </w:rPr>
        <w:t>st-merger periods. In it, NI,</w:t>
      </w:r>
      <w:r w:rsidRPr="00CC790B">
        <w:rPr>
          <w:szCs w:val="20"/>
        </w:rPr>
        <w:t xml:space="preserve"> OCF</w:t>
      </w:r>
      <w:r>
        <w:rPr>
          <w:szCs w:val="20"/>
        </w:rPr>
        <w:t>, and Accruals</w:t>
      </w:r>
      <w:r w:rsidRPr="00CC790B">
        <w:rPr>
          <w:szCs w:val="20"/>
        </w:rPr>
        <w:t xml:space="preserve"> are the residuals from models </w:t>
      </w:r>
      <w:proofErr w:type="spellStart"/>
      <w:r>
        <w:rPr>
          <w:i/>
          <w:szCs w:val="20"/>
        </w:rPr>
        <w:t>NI</w:t>
      </w:r>
      <w:r w:rsidRPr="00CC790B">
        <w:rPr>
          <w:i/>
          <w:szCs w:val="20"/>
        </w:rPr>
        <w:t>_</w:t>
      </w:r>
      <w:r>
        <w:rPr>
          <w:i/>
          <w:szCs w:val="20"/>
        </w:rPr>
        <w:t>A</w:t>
      </w:r>
      <w:r w:rsidRPr="00CC790B">
        <w:rPr>
          <w:i/>
          <w:szCs w:val="20"/>
        </w:rPr>
        <w:t>ssets</w:t>
      </w:r>
      <w:proofErr w:type="spellEnd"/>
      <w:r w:rsidRPr="00CC790B">
        <w:rPr>
          <w:i/>
          <w:szCs w:val="20"/>
        </w:rPr>
        <w:t xml:space="preserve"> = f (</w:t>
      </w:r>
      <w:r w:rsidR="00A86B5E">
        <w:rPr>
          <w:i/>
          <w:szCs w:val="20"/>
        </w:rPr>
        <w:t>Size</w:t>
      </w:r>
      <w:r w:rsidRPr="00CC790B">
        <w:rPr>
          <w:i/>
          <w:szCs w:val="20"/>
        </w:rPr>
        <w:t>, Sales Growth, OCF/Assets, Leverage, Turn, Auditor, USCROSSLISTED, # of Foreign Exchanges)</w:t>
      </w:r>
      <w:r>
        <w:rPr>
          <w:szCs w:val="20"/>
        </w:rPr>
        <w:t xml:space="preserve">, </w:t>
      </w:r>
      <w:proofErr w:type="spellStart"/>
      <w:r>
        <w:rPr>
          <w:i/>
          <w:szCs w:val="20"/>
        </w:rPr>
        <w:t>OCF</w:t>
      </w:r>
      <w:r w:rsidRPr="00CC790B">
        <w:rPr>
          <w:i/>
          <w:szCs w:val="20"/>
        </w:rPr>
        <w:t>_</w:t>
      </w:r>
      <w:r>
        <w:rPr>
          <w:i/>
          <w:szCs w:val="20"/>
        </w:rPr>
        <w:t>A</w:t>
      </w:r>
      <w:r w:rsidRPr="00CC790B">
        <w:rPr>
          <w:i/>
          <w:szCs w:val="20"/>
        </w:rPr>
        <w:t>ssets</w:t>
      </w:r>
      <w:proofErr w:type="spellEnd"/>
      <w:r w:rsidRPr="00CC790B">
        <w:rPr>
          <w:i/>
          <w:szCs w:val="20"/>
        </w:rPr>
        <w:t xml:space="preserve"> = f</w:t>
      </w:r>
      <w:r w:rsidRPr="00CC790B">
        <w:rPr>
          <w:szCs w:val="20"/>
        </w:rPr>
        <w:t xml:space="preserve"> (</w:t>
      </w:r>
      <w:r w:rsidR="00A86B5E">
        <w:rPr>
          <w:i/>
          <w:szCs w:val="20"/>
        </w:rPr>
        <w:t>Size</w:t>
      </w:r>
      <w:r w:rsidRPr="00CC790B">
        <w:rPr>
          <w:i/>
          <w:szCs w:val="20"/>
        </w:rPr>
        <w:t>, Sales Growth, Leverage, Turn, Auditor, USCROSSLISTED, # of Foreign Exchanges</w:t>
      </w:r>
      <w:r w:rsidRPr="00CC790B">
        <w:rPr>
          <w:szCs w:val="20"/>
        </w:rPr>
        <w:t>),</w:t>
      </w:r>
      <w:r>
        <w:rPr>
          <w:szCs w:val="20"/>
        </w:rPr>
        <w:t xml:space="preserve"> and </w:t>
      </w:r>
      <w:proofErr w:type="spellStart"/>
      <w:r>
        <w:rPr>
          <w:i/>
          <w:szCs w:val="20"/>
        </w:rPr>
        <w:t>Accruals</w:t>
      </w:r>
      <w:r w:rsidRPr="00CC790B">
        <w:rPr>
          <w:i/>
          <w:szCs w:val="20"/>
        </w:rPr>
        <w:t>_</w:t>
      </w:r>
      <w:r>
        <w:rPr>
          <w:i/>
          <w:szCs w:val="20"/>
        </w:rPr>
        <w:t>A</w:t>
      </w:r>
      <w:r w:rsidRPr="00CC790B">
        <w:rPr>
          <w:i/>
          <w:szCs w:val="20"/>
        </w:rPr>
        <w:t>ssets</w:t>
      </w:r>
      <w:proofErr w:type="spellEnd"/>
      <w:r w:rsidRPr="00CC790B">
        <w:rPr>
          <w:i/>
          <w:szCs w:val="20"/>
        </w:rPr>
        <w:t xml:space="preserve"> = f</w:t>
      </w:r>
      <w:r w:rsidRPr="00CC790B">
        <w:rPr>
          <w:szCs w:val="20"/>
        </w:rPr>
        <w:t xml:space="preserve"> (</w:t>
      </w:r>
      <w:r w:rsidR="00A86B5E">
        <w:rPr>
          <w:i/>
          <w:szCs w:val="20"/>
        </w:rPr>
        <w:t>Size</w:t>
      </w:r>
      <w:r w:rsidRPr="00CC790B">
        <w:rPr>
          <w:i/>
          <w:szCs w:val="20"/>
        </w:rPr>
        <w:t>, Sales Growth, Leverage, Turn, Auditor, USCROSSLISTED, # of Foreign Exchanges</w:t>
      </w:r>
      <w:r w:rsidRPr="00CC790B">
        <w:rPr>
          <w:szCs w:val="20"/>
        </w:rPr>
        <w:t>)</w:t>
      </w:r>
      <w:r>
        <w:rPr>
          <w:szCs w:val="20"/>
        </w:rPr>
        <w:t>,</w:t>
      </w:r>
      <w:r w:rsidRPr="00CC790B">
        <w:rPr>
          <w:szCs w:val="20"/>
        </w:rPr>
        <w:t xml:space="preserve"> respectively. The statistical significance of the differences and difference-in-differences is calculated </w:t>
      </w:r>
      <w:r w:rsidR="00277AA5">
        <w:rPr>
          <w:szCs w:val="20"/>
        </w:rPr>
        <w:t>using the bootstrapping procedures</w:t>
      </w:r>
      <w:r w:rsidRPr="00CC790B">
        <w:rPr>
          <w:szCs w:val="20"/>
        </w:rPr>
        <w:t xml:space="preserve"> described in the paper. </w:t>
      </w:r>
    </w:p>
    <w:p w:rsidR="00A44F5C" w:rsidRPr="00CC790B" w:rsidRDefault="00A44F5C" w:rsidP="00D7405A">
      <w:pPr>
        <w:ind w:right="-104"/>
        <w:jc w:val="both"/>
        <w:rPr>
          <w:b/>
        </w:rPr>
      </w:pPr>
      <w:r w:rsidRPr="00CC790B">
        <w:rPr>
          <w:szCs w:val="20"/>
        </w:rPr>
        <w:t xml:space="preserve">*** indicates statistical </w:t>
      </w:r>
      <w:r w:rsidR="00137237" w:rsidRPr="00CC790B">
        <w:rPr>
          <w:szCs w:val="20"/>
        </w:rPr>
        <w:t>significan</w:t>
      </w:r>
      <w:r w:rsidR="00137237">
        <w:rPr>
          <w:szCs w:val="20"/>
        </w:rPr>
        <w:t>ce</w:t>
      </w:r>
      <w:r w:rsidR="00137237" w:rsidRPr="00CC790B">
        <w:rPr>
          <w:szCs w:val="20"/>
        </w:rPr>
        <w:t xml:space="preserve"> </w:t>
      </w:r>
      <w:r w:rsidRPr="00CC790B">
        <w:rPr>
          <w:szCs w:val="20"/>
        </w:rPr>
        <w:t xml:space="preserve">at the 0.01 level, ** indicates statistical significance at the 0.05 level, and * indicates statistical </w:t>
      </w:r>
      <w:r w:rsidR="00137237" w:rsidRPr="00CC790B">
        <w:rPr>
          <w:szCs w:val="20"/>
        </w:rPr>
        <w:t>significan</w:t>
      </w:r>
      <w:r w:rsidR="00137237">
        <w:rPr>
          <w:szCs w:val="20"/>
        </w:rPr>
        <w:t>ce</w:t>
      </w:r>
      <w:r w:rsidR="00137237" w:rsidRPr="00CC790B">
        <w:rPr>
          <w:szCs w:val="20"/>
        </w:rPr>
        <w:t xml:space="preserve"> </w:t>
      </w:r>
      <w:r w:rsidRPr="00CC790B">
        <w:rPr>
          <w:szCs w:val="20"/>
        </w:rPr>
        <w:t>at the 0.10 level (two-tailed test).</w:t>
      </w:r>
    </w:p>
    <w:p w:rsidR="00A44F5C" w:rsidRPr="00A40E27" w:rsidRDefault="00A44F5C" w:rsidP="00A44F5C">
      <w:pPr>
        <w:rPr>
          <w:b/>
          <w:color w:val="000000"/>
        </w:rPr>
      </w:pPr>
    </w:p>
    <w:p w:rsidR="00A44F5C" w:rsidRDefault="00A44F5C" w:rsidP="00A44F5C">
      <w:pPr>
        <w:rPr>
          <w:color w:val="000000"/>
        </w:rPr>
      </w:pPr>
    </w:p>
    <w:p w:rsidR="00A44F5C" w:rsidRDefault="00A44F5C" w:rsidP="00A44F5C">
      <w:pPr>
        <w:rPr>
          <w:color w:val="000000"/>
        </w:rPr>
      </w:pPr>
    </w:p>
    <w:p w:rsidR="00A44F5C" w:rsidRPr="00D808D4" w:rsidRDefault="00A44F5C" w:rsidP="00A44F5C">
      <w:pPr>
        <w:rPr>
          <w:color w:val="000000"/>
        </w:rPr>
        <w:sectPr w:rsidR="00A44F5C" w:rsidRPr="00D808D4" w:rsidSect="00714358">
          <w:pgSz w:w="15840" w:h="12240" w:orient="landscape"/>
          <w:pgMar w:top="1440" w:right="1440" w:bottom="1440" w:left="1440" w:header="720" w:footer="720" w:gutter="0"/>
          <w:cols w:space="720"/>
          <w:docGrid w:linePitch="360"/>
        </w:sectPr>
      </w:pPr>
    </w:p>
    <w:p w:rsidR="00DD7EE8" w:rsidRDefault="00A44F5C" w:rsidP="00A44F5C">
      <w:pPr>
        <w:jc w:val="center"/>
        <w:rPr>
          <w:b/>
          <w:color w:val="000000"/>
        </w:rPr>
      </w:pPr>
      <w:proofErr w:type="gramStart"/>
      <w:r w:rsidRPr="00A40E27">
        <w:rPr>
          <w:b/>
          <w:color w:val="000000"/>
        </w:rPr>
        <w:lastRenderedPageBreak/>
        <w:t>Table 9.</w:t>
      </w:r>
      <w:proofErr w:type="gramEnd"/>
      <w:r w:rsidRPr="00A40E27">
        <w:rPr>
          <w:b/>
          <w:color w:val="000000"/>
        </w:rPr>
        <w:t xml:space="preserve"> PSM </w:t>
      </w:r>
      <w:r w:rsidR="00DD7EE8">
        <w:rPr>
          <w:b/>
          <w:color w:val="000000"/>
        </w:rPr>
        <w:t>Analyses</w:t>
      </w:r>
    </w:p>
    <w:p w:rsidR="00A44F5C" w:rsidRDefault="00DD7EE8" w:rsidP="00A44F5C">
      <w:pPr>
        <w:jc w:val="center"/>
        <w:rPr>
          <w:b/>
          <w:color w:val="000000"/>
        </w:rPr>
      </w:pPr>
      <w:r>
        <w:rPr>
          <w:b/>
          <w:color w:val="000000"/>
        </w:rPr>
        <w:t>Panel A</w:t>
      </w:r>
      <w:proofErr w:type="gramStart"/>
      <w:r>
        <w:rPr>
          <w:b/>
          <w:color w:val="000000"/>
        </w:rPr>
        <w:t>:</w:t>
      </w:r>
      <w:r w:rsidR="00277AA5">
        <w:rPr>
          <w:b/>
          <w:color w:val="000000"/>
        </w:rPr>
        <w:t>l</w:t>
      </w:r>
      <w:r w:rsidR="00A44F5C" w:rsidRPr="00A40E27">
        <w:rPr>
          <w:b/>
          <w:color w:val="000000"/>
        </w:rPr>
        <w:t>ogit</w:t>
      </w:r>
      <w:proofErr w:type="gramEnd"/>
      <w:r w:rsidR="00A44F5C" w:rsidRPr="00A40E27">
        <w:rPr>
          <w:b/>
          <w:color w:val="000000"/>
        </w:rPr>
        <w:t xml:space="preserve"> </w:t>
      </w:r>
      <w:r w:rsidR="00277AA5">
        <w:rPr>
          <w:b/>
          <w:color w:val="000000"/>
        </w:rPr>
        <w:t>r</w:t>
      </w:r>
      <w:r w:rsidR="00A44F5C" w:rsidRPr="00A40E27">
        <w:rPr>
          <w:b/>
          <w:color w:val="000000"/>
        </w:rPr>
        <w:t xml:space="preserve">egression </w:t>
      </w:r>
      <w:r w:rsidR="00277AA5">
        <w:rPr>
          <w:b/>
          <w:color w:val="000000"/>
        </w:rPr>
        <w:t>r</w:t>
      </w:r>
      <w:r w:rsidR="00A44F5C" w:rsidRPr="00A40E27">
        <w:rPr>
          <w:b/>
          <w:color w:val="000000"/>
        </w:rPr>
        <w:t>esults</w:t>
      </w:r>
    </w:p>
    <w:p w:rsidR="00277AA5" w:rsidRDefault="00277AA5" w:rsidP="00A44F5C">
      <w:pPr>
        <w:jc w:val="center"/>
        <w:rPr>
          <w:b/>
          <w:color w:val="000000"/>
        </w:rPr>
      </w:pPr>
    </w:p>
    <w:tbl>
      <w:tblPr>
        <w:tblW w:w="5000" w:type="pct"/>
        <w:tblLook w:val="04A0" w:firstRow="1" w:lastRow="0" w:firstColumn="1" w:lastColumn="0" w:noHBand="0" w:noVBand="1"/>
      </w:tblPr>
      <w:tblGrid>
        <w:gridCol w:w="3616"/>
        <w:gridCol w:w="2980"/>
        <w:gridCol w:w="2980"/>
      </w:tblGrid>
      <w:tr w:rsidR="00A44F5C" w:rsidRPr="00062DB2" w:rsidTr="002003A4">
        <w:trPr>
          <w:trHeight w:val="600"/>
        </w:trPr>
        <w:tc>
          <w:tcPr>
            <w:tcW w:w="1888" w:type="pct"/>
            <w:tcBorders>
              <w:top w:val="single" w:sz="12" w:space="0" w:color="auto"/>
              <w:left w:val="nil"/>
              <w:bottom w:val="single" w:sz="12" w:space="0" w:color="auto"/>
              <w:right w:val="nil"/>
            </w:tcBorders>
            <w:shd w:val="clear" w:color="auto" w:fill="auto"/>
            <w:noWrap/>
            <w:vAlign w:val="bottom"/>
            <w:hideMark/>
          </w:tcPr>
          <w:p w:rsidR="00A44F5C" w:rsidRPr="00062DB2" w:rsidRDefault="00A44F5C" w:rsidP="00714358">
            <w:pPr>
              <w:rPr>
                <w:color w:val="000000"/>
              </w:rPr>
            </w:pPr>
          </w:p>
        </w:tc>
        <w:tc>
          <w:tcPr>
            <w:tcW w:w="1556" w:type="pct"/>
            <w:tcBorders>
              <w:top w:val="single" w:sz="12" w:space="0" w:color="auto"/>
              <w:left w:val="nil"/>
              <w:bottom w:val="single" w:sz="12" w:space="0" w:color="auto"/>
              <w:right w:val="nil"/>
            </w:tcBorders>
            <w:shd w:val="clear" w:color="auto" w:fill="auto"/>
            <w:vAlign w:val="bottom"/>
            <w:hideMark/>
          </w:tcPr>
          <w:p w:rsidR="00A44F5C" w:rsidRPr="00062DB2" w:rsidRDefault="00A44F5C" w:rsidP="00714358">
            <w:pPr>
              <w:jc w:val="center"/>
              <w:rPr>
                <w:color w:val="000000"/>
              </w:rPr>
            </w:pPr>
            <w:r w:rsidRPr="00062DB2">
              <w:rPr>
                <w:color w:val="000000"/>
              </w:rPr>
              <w:t xml:space="preserve">(1) </w:t>
            </w:r>
            <w:r w:rsidRPr="00062DB2">
              <w:rPr>
                <w:color w:val="000000"/>
              </w:rPr>
              <w:br/>
              <w:t>Pre-Merger</w:t>
            </w:r>
          </w:p>
        </w:tc>
        <w:tc>
          <w:tcPr>
            <w:tcW w:w="1556" w:type="pct"/>
            <w:tcBorders>
              <w:top w:val="single" w:sz="12" w:space="0" w:color="auto"/>
              <w:left w:val="nil"/>
              <w:bottom w:val="single" w:sz="12" w:space="0" w:color="auto"/>
              <w:right w:val="nil"/>
            </w:tcBorders>
            <w:shd w:val="clear" w:color="auto" w:fill="auto"/>
            <w:vAlign w:val="bottom"/>
            <w:hideMark/>
          </w:tcPr>
          <w:p w:rsidR="00A44F5C" w:rsidRPr="00062DB2" w:rsidRDefault="00A44F5C" w:rsidP="00714358">
            <w:pPr>
              <w:jc w:val="center"/>
              <w:rPr>
                <w:color w:val="000000"/>
              </w:rPr>
            </w:pPr>
            <w:r w:rsidRPr="00062DB2">
              <w:rPr>
                <w:color w:val="000000"/>
              </w:rPr>
              <w:t xml:space="preserve">(2)  </w:t>
            </w:r>
            <w:r w:rsidRPr="00062DB2">
              <w:rPr>
                <w:color w:val="000000"/>
              </w:rPr>
              <w:br/>
              <w:t>Post-Merger</w:t>
            </w:r>
          </w:p>
        </w:tc>
      </w:tr>
      <w:tr w:rsidR="00A44F5C" w:rsidRPr="00062DB2" w:rsidTr="002003A4">
        <w:trPr>
          <w:trHeight w:hRule="exact" w:val="302"/>
        </w:trPr>
        <w:tc>
          <w:tcPr>
            <w:tcW w:w="1888" w:type="pct"/>
            <w:tcBorders>
              <w:top w:val="single" w:sz="12" w:space="0" w:color="auto"/>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Lev</w:t>
            </w:r>
            <w:r>
              <w:rPr>
                <w:color w:val="000000"/>
              </w:rPr>
              <w:t>erage</w:t>
            </w:r>
          </w:p>
        </w:tc>
        <w:tc>
          <w:tcPr>
            <w:tcW w:w="1556" w:type="pct"/>
            <w:tcBorders>
              <w:top w:val="single" w:sz="12" w:space="0" w:color="auto"/>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w:t>
            </w:r>
            <w:r w:rsidR="0051341B">
              <w:rPr>
                <w:color w:val="000000"/>
              </w:rPr>
              <w:t xml:space="preserve"> </w:t>
            </w:r>
            <w:r w:rsidRPr="00062DB2">
              <w:rPr>
                <w:color w:val="000000"/>
              </w:rPr>
              <w:t xml:space="preserve"> -1.796***</w:t>
            </w:r>
          </w:p>
        </w:tc>
        <w:tc>
          <w:tcPr>
            <w:tcW w:w="1556" w:type="pct"/>
            <w:tcBorders>
              <w:top w:val="single" w:sz="12" w:space="0" w:color="auto"/>
              <w:left w:val="nil"/>
              <w:bottom w:val="nil"/>
              <w:right w:val="nil"/>
            </w:tcBorders>
            <w:shd w:val="clear" w:color="auto" w:fill="auto"/>
            <w:noWrap/>
            <w:vAlign w:val="bottom"/>
            <w:hideMark/>
          </w:tcPr>
          <w:p w:rsidR="00A44F5C" w:rsidRPr="00062DB2" w:rsidRDefault="0051341B" w:rsidP="00714358">
            <w:pPr>
              <w:jc w:val="center"/>
              <w:rPr>
                <w:color w:val="000000"/>
              </w:rPr>
            </w:pPr>
            <w:r>
              <w:rPr>
                <w:color w:val="000000"/>
              </w:rPr>
              <w:t xml:space="preserve">  </w:t>
            </w:r>
            <w:r w:rsidR="00A44F5C" w:rsidRPr="00062DB2">
              <w:rPr>
                <w:color w:val="000000"/>
              </w:rPr>
              <w:t xml:space="preserve">   -1.132***</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(-4.93)</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-4.33)</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roofErr w:type="spellStart"/>
            <w:r>
              <w:rPr>
                <w:color w:val="000000"/>
              </w:rPr>
              <w:t>NI_Assets</w:t>
            </w:r>
            <w:proofErr w:type="spellEnd"/>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-0.093</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0.274</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(-0.12)</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(0.47)</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w:t>
            </w:r>
            <w:proofErr w:type="spellStart"/>
            <w:r w:rsidRPr="00062DB2">
              <w:rPr>
                <w:color w:val="000000"/>
              </w:rPr>
              <w:t>FExchange</w:t>
            </w:r>
            <w:proofErr w:type="spellEnd"/>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0.008</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0.006</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(0.10)</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(0.09)</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Sales Growth</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0.711***</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0.373***</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(3.91)</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(2.82)</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Size</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-0.025</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0.027</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(-0.80)</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(1.06)</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Turn</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0.211*</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0.197**</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(1.94)</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(2.41)</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Auditor</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0.612***</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0.444***</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(4.75)</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(4.37)</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IFRS_USGAAP</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-0.467</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0.200**</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(-0.94)</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(2.15)</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USCROSSLISTED</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-2.021*</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-1.340***</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(-1.90)</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(-2.69)</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roofErr w:type="spellStart"/>
            <w:r w:rsidRPr="00062DB2">
              <w:rPr>
                <w:color w:val="000000"/>
              </w:rPr>
              <w:t>ret_std</w:t>
            </w:r>
            <w:proofErr w:type="spellEnd"/>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8.889***</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27.145***   </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(2.70)</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(6.01)</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Const.</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-17.685***</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-18.226***</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(-45.36)</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(-39.38)</w:t>
            </w:r>
          </w:p>
        </w:tc>
      </w:tr>
      <w:tr w:rsidR="00A44F5C" w:rsidRPr="00062DB2" w:rsidTr="002003A4">
        <w:trPr>
          <w:trHeight w:hRule="exact" w:val="302"/>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Industry FE</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Yes</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Yes</w:t>
            </w:r>
          </w:p>
        </w:tc>
      </w:tr>
      <w:tr w:rsidR="00A44F5C" w:rsidRPr="00062DB2" w:rsidTr="002003A4">
        <w:trPr>
          <w:trHeight w:val="300"/>
        </w:trPr>
        <w:tc>
          <w:tcPr>
            <w:tcW w:w="1888" w:type="pct"/>
            <w:tcBorders>
              <w:top w:val="nil"/>
              <w:left w:val="nil"/>
              <w:bottom w:val="nil"/>
              <w:right w:val="nil"/>
            </w:tcBorders>
            <w:shd w:val="clear" w:color="auto" w:fill="auto"/>
            <w:noWrap/>
            <w:vAlign w:val="bottom"/>
            <w:hideMark/>
          </w:tcPr>
          <w:p w:rsidR="00A44F5C" w:rsidRPr="00062DB2" w:rsidRDefault="00A44F5C" w:rsidP="00714358">
            <w:pPr>
              <w:rPr>
                <w:color w:val="000000"/>
              </w:rPr>
            </w:pPr>
            <w:r w:rsidRPr="00062DB2">
              <w:rPr>
                <w:color w:val="000000"/>
              </w:rPr>
              <w:t>Exchange FE</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Yes</w:t>
            </w:r>
          </w:p>
        </w:tc>
        <w:tc>
          <w:tcPr>
            <w:tcW w:w="1556" w:type="pct"/>
            <w:tcBorders>
              <w:top w:val="nil"/>
              <w:left w:val="nil"/>
              <w:bottom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Yes</w:t>
            </w:r>
          </w:p>
        </w:tc>
      </w:tr>
      <w:tr w:rsidR="00A44F5C" w:rsidRPr="00062DB2" w:rsidTr="002003A4">
        <w:trPr>
          <w:trHeight w:hRule="exact" w:val="302"/>
        </w:trPr>
        <w:tc>
          <w:tcPr>
            <w:tcW w:w="1888" w:type="pct"/>
            <w:tcBorders>
              <w:top w:val="nil"/>
              <w:left w:val="nil"/>
              <w:right w:val="nil"/>
            </w:tcBorders>
            <w:shd w:val="clear" w:color="auto" w:fill="auto"/>
            <w:noWrap/>
            <w:vAlign w:val="bottom"/>
            <w:hideMark/>
          </w:tcPr>
          <w:p w:rsidR="00A44F5C" w:rsidRPr="00062DB2" w:rsidRDefault="00A44F5C" w:rsidP="00714358">
            <w:pPr>
              <w:rPr>
                <w:color w:val="000000"/>
              </w:rPr>
            </w:pPr>
            <w:r w:rsidRPr="00062DB2">
              <w:rPr>
                <w:color w:val="000000"/>
              </w:rPr>
              <w:t>Observations</w:t>
            </w:r>
          </w:p>
        </w:tc>
        <w:tc>
          <w:tcPr>
            <w:tcW w:w="1556" w:type="pct"/>
            <w:tcBorders>
              <w:top w:val="nil"/>
              <w:left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2,040</w:t>
            </w:r>
          </w:p>
        </w:tc>
        <w:tc>
          <w:tcPr>
            <w:tcW w:w="1556" w:type="pct"/>
            <w:tcBorders>
              <w:top w:val="nil"/>
              <w:left w:val="nil"/>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 xml:space="preserve">  2,785 </w:t>
            </w:r>
          </w:p>
        </w:tc>
      </w:tr>
      <w:tr w:rsidR="00A44F5C" w:rsidRPr="00062DB2" w:rsidTr="002003A4">
        <w:trPr>
          <w:trHeight w:val="300"/>
        </w:trPr>
        <w:tc>
          <w:tcPr>
            <w:tcW w:w="1888" w:type="pct"/>
            <w:tcBorders>
              <w:top w:val="nil"/>
              <w:left w:val="nil"/>
              <w:bottom w:val="single" w:sz="12" w:space="0" w:color="auto"/>
              <w:right w:val="nil"/>
            </w:tcBorders>
            <w:shd w:val="clear" w:color="auto" w:fill="auto"/>
            <w:noWrap/>
            <w:vAlign w:val="bottom"/>
            <w:hideMark/>
          </w:tcPr>
          <w:p w:rsidR="00A44F5C" w:rsidRPr="00062DB2" w:rsidRDefault="00A44F5C" w:rsidP="00714358">
            <w:pPr>
              <w:rPr>
                <w:color w:val="000000"/>
              </w:rPr>
            </w:pPr>
            <w:r w:rsidRPr="00062DB2">
              <w:rPr>
                <w:color w:val="000000"/>
              </w:rPr>
              <w:t>Pseudo R</w:t>
            </w:r>
            <w:r>
              <w:rPr>
                <w:color w:val="000000"/>
              </w:rPr>
              <w:t>-squared</w:t>
            </w:r>
          </w:p>
        </w:tc>
        <w:tc>
          <w:tcPr>
            <w:tcW w:w="1556" w:type="pct"/>
            <w:tcBorders>
              <w:top w:val="nil"/>
              <w:left w:val="nil"/>
              <w:bottom w:val="single" w:sz="12" w:space="0" w:color="auto"/>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0.1047</w:t>
            </w:r>
          </w:p>
        </w:tc>
        <w:tc>
          <w:tcPr>
            <w:tcW w:w="1556" w:type="pct"/>
            <w:tcBorders>
              <w:top w:val="nil"/>
              <w:left w:val="nil"/>
              <w:bottom w:val="single" w:sz="12" w:space="0" w:color="auto"/>
              <w:right w:val="nil"/>
            </w:tcBorders>
            <w:shd w:val="clear" w:color="auto" w:fill="auto"/>
            <w:noWrap/>
            <w:vAlign w:val="bottom"/>
            <w:hideMark/>
          </w:tcPr>
          <w:p w:rsidR="00A44F5C" w:rsidRPr="00062DB2" w:rsidRDefault="00A44F5C" w:rsidP="00714358">
            <w:pPr>
              <w:jc w:val="center"/>
              <w:rPr>
                <w:color w:val="000000"/>
              </w:rPr>
            </w:pPr>
            <w:r w:rsidRPr="00062DB2">
              <w:rPr>
                <w:color w:val="000000"/>
              </w:rPr>
              <w:t>0.0868</w:t>
            </w:r>
          </w:p>
        </w:tc>
      </w:tr>
    </w:tbl>
    <w:p w:rsidR="00A44F5C" w:rsidRDefault="00A44F5C" w:rsidP="00A44F5C">
      <w:pPr>
        <w:rPr>
          <w:color w:val="000000"/>
        </w:rPr>
      </w:pPr>
      <w:r w:rsidRPr="002C61FB">
        <w:rPr>
          <w:color w:val="000000"/>
        </w:rPr>
        <w:t>(</w:t>
      </w:r>
      <w:proofErr w:type="gramStart"/>
      <w:r w:rsidRPr="002C61FB">
        <w:rPr>
          <w:color w:val="000000"/>
        </w:rPr>
        <w:t>continues</w:t>
      </w:r>
      <w:proofErr w:type="gramEnd"/>
      <w:r w:rsidRPr="002C61FB">
        <w:rPr>
          <w:color w:val="000000"/>
        </w:rPr>
        <w:t xml:space="preserve"> on next page)</w:t>
      </w:r>
    </w:p>
    <w:p w:rsidR="00A44F5C" w:rsidRDefault="00A44F5C" w:rsidP="00A44F5C">
      <w:pPr>
        <w:rPr>
          <w:b/>
          <w:color w:val="000000"/>
        </w:rPr>
      </w:pPr>
    </w:p>
    <w:p w:rsidR="00C9694E" w:rsidRDefault="00C9694E" w:rsidP="00A44F5C">
      <w:pPr>
        <w:rPr>
          <w:b/>
          <w:color w:val="000000"/>
        </w:rPr>
        <w:sectPr w:rsidR="00C9694E" w:rsidSect="002003A4">
          <w:pgSz w:w="12240" w:h="15840"/>
          <w:pgMar w:top="1440" w:right="1440" w:bottom="1440" w:left="1440" w:header="720" w:footer="720" w:gutter="0"/>
          <w:cols w:space="720"/>
          <w:docGrid w:linePitch="360"/>
        </w:sectPr>
      </w:pPr>
    </w:p>
    <w:p w:rsidR="00A44F5C" w:rsidRDefault="00A44F5C" w:rsidP="00A44F5C">
      <w:pPr>
        <w:rPr>
          <w:b/>
          <w:color w:val="000000"/>
        </w:rPr>
      </w:pPr>
      <w:r w:rsidRPr="00A40E27">
        <w:rPr>
          <w:b/>
          <w:color w:val="000000"/>
        </w:rPr>
        <w:lastRenderedPageBreak/>
        <w:t>Table 9</w:t>
      </w:r>
      <w:r>
        <w:rPr>
          <w:b/>
          <w:color w:val="000000"/>
        </w:rPr>
        <w:t xml:space="preserve"> </w:t>
      </w:r>
      <w:r w:rsidR="00DD7EE8">
        <w:rPr>
          <w:b/>
          <w:color w:val="000000"/>
        </w:rPr>
        <w:t xml:space="preserve">Panel A </w:t>
      </w:r>
      <w:r>
        <w:rPr>
          <w:b/>
          <w:color w:val="000000"/>
        </w:rPr>
        <w:t>(continued)</w:t>
      </w:r>
    </w:p>
    <w:p w:rsidR="00C9694E" w:rsidRDefault="00C9694E" w:rsidP="00A44F5C">
      <w:pPr>
        <w:rPr>
          <w:color w:val="000000"/>
        </w:rPr>
      </w:pPr>
    </w:p>
    <w:p w:rsidR="00A44F5C" w:rsidRPr="002C61FB" w:rsidRDefault="00A44F5C" w:rsidP="00A44F5C">
      <w:pPr>
        <w:ind w:left="-90"/>
        <w:jc w:val="both"/>
        <w:rPr>
          <w:szCs w:val="20"/>
        </w:rPr>
      </w:pPr>
      <w:r w:rsidRPr="002C61FB">
        <w:rPr>
          <w:szCs w:val="20"/>
        </w:rPr>
        <w:t xml:space="preserve">The </w:t>
      </w:r>
      <w:r w:rsidR="00DD7EE8">
        <w:rPr>
          <w:szCs w:val="20"/>
        </w:rPr>
        <w:t xml:space="preserve">panel </w:t>
      </w:r>
      <w:r w:rsidRPr="002C61FB">
        <w:rPr>
          <w:szCs w:val="20"/>
        </w:rPr>
        <w:t xml:space="preserve">shows results from two logistic models used to estimate the propensity of firms in our sample to list on a named segment. Model 1 calculates this propensity using firm-year observations from the pre-merger period, while Model 2 uses firm-year observations from the post-merger period. *** indicates statistical </w:t>
      </w:r>
      <w:r w:rsidR="007A45CC" w:rsidRPr="002C61FB">
        <w:rPr>
          <w:szCs w:val="20"/>
        </w:rPr>
        <w:t>significan</w:t>
      </w:r>
      <w:r w:rsidR="007A45CC">
        <w:rPr>
          <w:szCs w:val="20"/>
        </w:rPr>
        <w:t>ce</w:t>
      </w:r>
      <w:r w:rsidR="007A45CC" w:rsidRPr="002C61FB">
        <w:rPr>
          <w:szCs w:val="20"/>
        </w:rPr>
        <w:t xml:space="preserve"> </w:t>
      </w:r>
      <w:r w:rsidRPr="002C61FB">
        <w:rPr>
          <w:szCs w:val="20"/>
        </w:rPr>
        <w:t xml:space="preserve">at the 0.01 level, ** indicates statistical significance at the 0.05 level, and * indicates statistical </w:t>
      </w:r>
      <w:r w:rsidR="007A45CC" w:rsidRPr="002C61FB">
        <w:rPr>
          <w:szCs w:val="20"/>
        </w:rPr>
        <w:t>significan</w:t>
      </w:r>
      <w:r w:rsidR="007A45CC">
        <w:rPr>
          <w:szCs w:val="20"/>
        </w:rPr>
        <w:t>ce</w:t>
      </w:r>
      <w:r w:rsidR="007A45CC" w:rsidRPr="002C61FB">
        <w:rPr>
          <w:szCs w:val="20"/>
        </w:rPr>
        <w:t xml:space="preserve"> </w:t>
      </w:r>
      <w:r w:rsidRPr="002C61FB">
        <w:rPr>
          <w:szCs w:val="20"/>
        </w:rPr>
        <w:t>at the 0.10 level. All variables are as defined on Table 2 of the paper.</w:t>
      </w:r>
    </w:p>
    <w:p w:rsidR="00A44F5C" w:rsidRPr="002C61FB" w:rsidRDefault="00A44F5C" w:rsidP="00A44F5C">
      <w:pPr>
        <w:rPr>
          <w:color w:val="000000"/>
        </w:rPr>
        <w:sectPr w:rsidR="00A44F5C" w:rsidRPr="002C61FB" w:rsidSect="00714358">
          <w:pgSz w:w="12240" w:h="15840"/>
          <w:pgMar w:top="1800" w:right="1440" w:bottom="1440" w:left="1440" w:header="720" w:footer="720" w:gutter="0"/>
          <w:cols w:space="720"/>
          <w:docGrid w:linePitch="360"/>
        </w:sectPr>
      </w:pPr>
    </w:p>
    <w:p w:rsidR="00A44F5C" w:rsidRDefault="00DD7EE8" w:rsidP="00A44F5C">
      <w:pPr>
        <w:jc w:val="center"/>
        <w:rPr>
          <w:b/>
          <w:color w:val="000000"/>
        </w:rPr>
      </w:pPr>
      <w:r>
        <w:rPr>
          <w:b/>
          <w:color w:val="000000"/>
        </w:rPr>
        <w:lastRenderedPageBreak/>
        <w:t>Panel B:</w:t>
      </w:r>
      <w:r w:rsidR="00A44F5C" w:rsidRPr="00A40E27">
        <w:rPr>
          <w:b/>
          <w:color w:val="000000"/>
        </w:rPr>
        <w:t xml:space="preserve"> PSM </w:t>
      </w:r>
      <w:r w:rsidR="00277AA5">
        <w:rPr>
          <w:b/>
          <w:color w:val="000000"/>
        </w:rPr>
        <w:t>s</w:t>
      </w:r>
      <w:r w:rsidR="00A44F5C" w:rsidRPr="00A40E27">
        <w:rPr>
          <w:b/>
          <w:color w:val="000000"/>
        </w:rPr>
        <w:t xml:space="preserve">ample </w:t>
      </w:r>
      <w:r w:rsidR="00277AA5">
        <w:rPr>
          <w:b/>
          <w:color w:val="000000"/>
        </w:rPr>
        <w:t>d</w:t>
      </w:r>
      <w:r w:rsidR="00A44F5C" w:rsidRPr="00A40E27">
        <w:rPr>
          <w:b/>
          <w:color w:val="000000"/>
        </w:rPr>
        <w:t xml:space="preserve">escriptive </w:t>
      </w:r>
      <w:proofErr w:type="spellStart"/>
      <w:r w:rsidR="00277AA5">
        <w:rPr>
          <w:b/>
          <w:color w:val="000000"/>
        </w:rPr>
        <w:t>s</w:t>
      </w:r>
      <w:r w:rsidR="00A44F5C" w:rsidRPr="00A40E27">
        <w:rPr>
          <w:b/>
          <w:color w:val="000000"/>
        </w:rPr>
        <w:t>tats</w:t>
      </w:r>
      <w:r w:rsidR="00277AA5">
        <w:rPr>
          <w:b/>
          <w:color w:val="000000"/>
        </w:rPr>
        <w:t>istics</w:t>
      </w:r>
      <w:proofErr w:type="spellEnd"/>
      <w:r w:rsidR="00A44F5C" w:rsidRPr="00A40E27">
        <w:rPr>
          <w:b/>
          <w:color w:val="000000"/>
        </w:rPr>
        <w:t xml:space="preserve"> by pre-/post-</w:t>
      </w:r>
      <w:r w:rsidR="00277AA5">
        <w:rPr>
          <w:b/>
          <w:color w:val="000000"/>
        </w:rPr>
        <w:t>m</w:t>
      </w:r>
      <w:r w:rsidR="00A44F5C" w:rsidRPr="00A40E27">
        <w:rPr>
          <w:b/>
          <w:color w:val="000000"/>
        </w:rPr>
        <w:t xml:space="preserve">erger and </w:t>
      </w:r>
      <w:r w:rsidR="00277AA5">
        <w:rPr>
          <w:b/>
          <w:color w:val="000000"/>
        </w:rPr>
        <w:t>s</w:t>
      </w:r>
      <w:r w:rsidR="00A44F5C" w:rsidRPr="00A40E27">
        <w:rPr>
          <w:b/>
          <w:color w:val="000000"/>
        </w:rPr>
        <w:t>egment/</w:t>
      </w:r>
      <w:r w:rsidR="00277AA5">
        <w:rPr>
          <w:b/>
          <w:color w:val="000000"/>
        </w:rPr>
        <w:t>n</w:t>
      </w:r>
      <w:r w:rsidR="00A44F5C" w:rsidRPr="00A40E27">
        <w:rPr>
          <w:b/>
          <w:color w:val="000000"/>
        </w:rPr>
        <w:t>on-segment partitions</w:t>
      </w:r>
    </w:p>
    <w:p w:rsidR="00277AA5" w:rsidRPr="00A40E27" w:rsidRDefault="00277AA5" w:rsidP="00A44F5C">
      <w:pPr>
        <w:jc w:val="center"/>
        <w:rPr>
          <w:b/>
          <w:color w:val="000000"/>
        </w:rPr>
      </w:pPr>
    </w:p>
    <w:tbl>
      <w:tblPr>
        <w:tblW w:w="5000" w:type="pct"/>
        <w:jc w:val="center"/>
        <w:tblLayout w:type="fixed"/>
        <w:tblLook w:val="04A0" w:firstRow="1" w:lastRow="0" w:firstColumn="1" w:lastColumn="0" w:noHBand="0" w:noVBand="1"/>
      </w:tblPr>
      <w:tblGrid>
        <w:gridCol w:w="2347"/>
        <w:gridCol w:w="1156"/>
        <w:gridCol w:w="1612"/>
        <w:gridCol w:w="1612"/>
        <w:gridCol w:w="1612"/>
        <w:gridCol w:w="1612"/>
        <w:gridCol w:w="1612"/>
        <w:gridCol w:w="1613"/>
      </w:tblGrid>
      <w:tr w:rsidR="00A64C8D" w:rsidRPr="00E62F41" w:rsidTr="0061245A">
        <w:trPr>
          <w:trHeight w:hRule="exact" w:val="302"/>
          <w:jc w:val="center"/>
        </w:trPr>
        <w:tc>
          <w:tcPr>
            <w:tcW w:w="600" w:type="pct"/>
            <w:gridSpan w:val="5"/>
            <w:tcBorders>
              <w:top w:val="single" w:sz="12" w:space="0" w:color="auto"/>
              <w:left w:val="nil"/>
              <w:right w:val="nil"/>
            </w:tcBorders>
            <w:shd w:val="clear" w:color="auto" w:fill="auto"/>
            <w:noWrap/>
            <w:vAlign w:val="bottom"/>
            <w:hideMark/>
          </w:tcPr>
          <w:p w:rsidR="00A64C8D" w:rsidRPr="00E62F41" w:rsidRDefault="00A64C8D" w:rsidP="00714358">
            <w:pPr>
              <w:rPr>
                <w:color w:val="000000"/>
              </w:rPr>
            </w:pPr>
            <w:r w:rsidRPr="00E62F41">
              <w:rPr>
                <w:b/>
                <w:bCs/>
                <w:color w:val="000000"/>
              </w:rPr>
              <w:t xml:space="preserve">                        </w:t>
            </w:r>
            <w:r w:rsidRPr="00E62F41">
              <w:rPr>
                <w:b/>
                <w:bCs/>
                <w:color w:val="000000"/>
                <w:u w:val="single"/>
              </w:rPr>
              <w:t>Pre-merger</w:t>
            </w:r>
          </w:p>
        </w:tc>
        <w:tc>
          <w:tcPr>
            <w:tcW w:w="600" w:type="pct"/>
            <w:gridSpan w:val="3"/>
            <w:tcBorders>
              <w:top w:val="single" w:sz="12" w:space="0" w:color="auto"/>
              <w:left w:val="nil"/>
              <w:right w:val="nil"/>
            </w:tcBorders>
            <w:shd w:val="clear" w:color="auto" w:fill="auto"/>
            <w:noWrap/>
            <w:vAlign w:val="bottom"/>
            <w:hideMark/>
          </w:tcPr>
          <w:p w:rsidR="00A64C8D" w:rsidRPr="00E62F41" w:rsidRDefault="00A64C8D" w:rsidP="00714358">
            <w:pPr>
              <w:rPr>
                <w:color w:val="000000"/>
              </w:rPr>
            </w:pPr>
          </w:p>
        </w:tc>
      </w:tr>
      <w:tr w:rsidR="0061245A" w:rsidRPr="00E62F41" w:rsidTr="0061245A">
        <w:trPr>
          <w:trHeight w:hRule="exact" w:val="302"/>
          <w:jc w:val="center"/>
        </w:trPr>
        <w:tc>
          <w:tcPr>
            <w:tcW w:w="1305" w:type="pct"/>
            <w:gridSpan w:val="2"/>
            <w:tcBorders>
              <w:left w:val="nil"/>
              <w:bottom w:val="nil"/>
              <w:right w:val="nil"/>
            </w:tcBorders>
            <w:shd w:val="clear" w:color="auto" w:fill="auto"/>
            <w:noWrap/>
            <w:vAlign w:val="bottom"/>
            <w:hideMark/>
          </w:tcPr>
          <w:p w:rsidR="0061245A" w:rsidRPr="00E62F41" w:rsidRDefault="0061245A" w:rsidP="00714358">
            <w:pPr>
              <w:rPr>
                <w:color w:val="000000"/>
              </w:rPr>
            </w:pPr>
          </w:p>
        </w:tc>
        <w:tc>
          <w:tcPr>
            <w:tcW w:w="600" w:type="pct"/>
            <w:gridSpan w:val="3"/>
            <w:tcBorders>
              <w:left w:val="nil"/>
              <w:bottom w:val="single" w:sz="4" w:space="0" w:color="auto"/>
              <w:right w:val="nil"/>
            </w:tcBorders>
            <w:shd w:val="clear" w:color="auto" w:fill="auto"/>
            <w:noWrap/>
            <w:vAlign w:val="bottom"/>
            <w:hideMark/>
          </w:tcPr>
          <w:p w:rsidR="0061245A" w:rsidRPr="00E62F41" w:rsidRDefault="0061245A" w:rsidP="00714358">
            <w:pPr>
              <w:jc w:val="center"/>
              <w:rPr>
                <w:b/>
                <w:color w:val="000000"/>
              </w:rPr>
            </w:pPr>
            <w:r w:rsidRPr="00E62F41">
              <w:rPr>
                <w:b/>
                <w:color w:val="000000"/>
              </w:rPr>
              <w:t>Non-segment</w:t>
            </w:r>
          </w:p>
        </w:tc>
        <w:tc>
          <w:tcPr>
            <w:tcW w:w="600" w:type="pct"/>
            <w:gridSpan w:val="3"/>
            <w:tcBorders>
              <w:left w:val="nil"/>
              <w:bottom w:val="single" w:sz="4" w:space="0" w:color="auto"/>
              <w:right w:val="nil"/>
            </w:tcBorders>
            <w:shd w:val="clear" w:color="auto" w:fill="auto"/>
            <w:noWrap/>
            <w:vAlign w:val="bottom"/>
            <w:hideMark/>
          </w:tcPr>
          <w:p w:rsidR="0061245A" w:rsidRPr="00E62F41" w:rsidRDefault="0061245A" w:rsidP="0061245A">
            <w:pPr>
              <w:jc w:val="center"/>
              <w:rPr>
                <w:b/>
                <w:color w:val="000000"/>
              </w:rPr>
            </w:pPr>
            <w:r>
              <w:rPr>
                <w:b/>
                <w:color w:val="000000"/>
              </w:rPr>
              <w:t>Segment</w:t>
            </w:r>
          </w:p>
        </w:tc>
      </w:tr>
      <w:tr w:rsidR="00A267D3" w:rsidRPr="00E62F41" w:rsidTr="0061245A">
        <w:trPr>
          <w:trHeight w:hRule="exact" w:val="302"/>
          <w:jc w:val="center"/>
        </w:trPr>
        <w:tc>
          <w:tcPr>
            <w:tcW w:w="874" w:type="pct"/>
            <w:tcBorders>
              <w:top w:val="nil"/>
              <w:left w:val="nil"/>
              <w:bottom w:val="single" w:sz="4" w:space="0" w:color="auto"/>
              <w:right w:val="nil"/>
            </w:tcBorders>
            <w:shd w:val="clear" w:color="auto" w:fill="auto"/>
            <w:noWrap/>
            <w:vAlign w:val="bottom"/>
            <w:hideMark/>
          </w:tcPr>
          <w:p w:rsidR="00A44F5C" w:rsidRPr="00E62F41" w:rsidRDefault="00A44F5C" w:rsidP="00714358">
            <w:pPr>
              <w:jc w:val="center"/>
              <w:rPr>
                <w:color w:val="000000"/>
              </w:rPr>
            </w:pPr>
          </w:p>
        </w:tc>
        <w:tc>
          <w:tcPr>
            <w:tcW w:w="431" w:type="pct"/>
            <w:tcBorders>
              <w:top w:val="nil"/>
              <w:left w:val="nil"/>
              <w:bottom w:val="single" w:sz="4" w:space="0" w:color="auto"/>
              <w:right w:val="nil"/>
            </w:tcBorders>
            <w:shd w:val="clear" w:color="auto" w:fill="auto"/>
            <w:noWrap/>
            <w:vAlign w:val="bottom"/>
            <w:hideMark/>
          </w:tcPr>
          <w:p w:rsidR="00A44F5C" w:rsidRPr="00E62F41" w:rsidRDefault="00A44F5C" w:rsidP="00714358">
            <w:pPr>
              <w:jc w:val="center"/>
              <w:rPr>
                <w:b/>
                <w:color w:val="000000"/>
              </w:rPr>
            </w:pPr>
            <w:r w:rsidRPr="00E62F41">
              <w:rPr>
                <w:b/>
                <w:color w:val="000000"/>
              </w:rPr>
              <w:t>N</w:t>
            </w:r>
          </w:p>
        </w:tc>
        <w:tc>
          <w:tcPr>
            <w:tcW w:w="600" w:type="pct"/>
            <w:tcBorders>
              <w:top w:val="nil"/>
              <w:left w:val="nil"/>
              <w:bottom w:val="single" w:sz="4" w:space="0" w:color="auto"/>
              <w:right w:val="nil"/>
            </w:tcBorders>
            <w:shd w:val="clear" w:color="auto" w:fill="auto"/>
            <w:noWrap/>
            <w:vAlign w:val="bottom"/>
            <w:hideMark/>
          </w:tcPr>
          <w:p w:rsidR="00A44F5C" w:rsidRPr="00E62F41" w:rsidRDefault="00A44F5C" w:rsidP="00A64C8D">
            <w:pPr>
              <w:jc w:val="center"/>
              <w:rPr>
                <w:b/>
                <w:color w:val="000000"/>
              </w:rPr>
            </w:pPr>
            <w:r w:rsidRPr="00E62F41">
              <w:rPr>
                <w:b/>
                <w:color w:val="000000"/>
              </w:rPr>
              <w:t>Mean</w:t>
            </w:r>
          </w:p>
        </w:tc>
        <w:tc>
          <w:tcPr>
            <w:tcW w:w="600" w:type="pct"/>
            <w:tcBorders>
              <w:top w:val="nil"/>
              <w:left w:val="nil"/>
              <w:bottom w:val="single" w:sz="4" w:space="0" w:color="auto"/>
              <w:right w:val="nil"/>
            </w:tcBorders>
            <w:shd w:val="clear" w:color="auto" w:fill="auto"/>
            <w:noWrap/>
            <w:vAlign w:val="bottom"/>
            <w:hideMark/>
          </w:tcPr>
          <w:p w:rsidR="00A44F5C" w:rsidRPr="00E62F41" w:rsidRDefault="00A44F5C" w:rsidP="00714358">
            <w:pPr>
              <w:jc w:val="center"/>
              <w:rPr>
                <w:b/>
                <w:color w:val="000000"/>
              </w:rPr>
            </w:pPr>
            <w:r w:rsidRPr="00E62F41">
              <w:rPr>
                <w:b/>
                <w:color w:val="000000"/>
              </w:rPr>
              <w:t>Median</w:t>
            </w:r>
          </w:p>
        </w:tc>
        <w:tc>
          <w:tcPr>
            <w:tcW w:w="600" w:type="pct"/>
            <w:tcBorders>
              <w:top w:val="nil"/>
              <w:left w:val="nil"/>
              <w:bottom w:val="single" w:sz="4" w:space="0" w:color="auto"/>
              <w:right w:val="nil"/>
            </w:tcBorders>
            <w:shd w:val="clear" w:color="auto" w:fill="auto"/>
            <w:noWrap/>
            <w:vAlign w:val="bottom"/>
            <w:hideMark/>
          </w:tcPr>
          <w:p w:rsidR="00A44F5C" w:rsidRPr="00E62F41" w:rsidRDefault="00A44F5C" w:rsidP="00714358">
            <w:pPr>
              <w:jc w:val="center"/>
              <w:rPr>
                <w:b/>
                <w:color w:val="000000"/>
              </w:rPr>
            </w:pPr>
            <w:proofErr w:type="spellStart"/>
            <w:r w:rsidRPr="00E62F41">
              <w:rPr>
                <w:b/>
                <w:color w:val="000000"/>
              </w:rPr>
              <w:t>StdDev</w:t>
            </w:r>
            <w:proofErr w:type="spellEnd"/>
          </w:p>
        </w:tc>
        <w:tc>
          <w:tcPr>
            <w:tcW w:w="600" w:type="pct"/>
            <w:tcBorders>
              <w:top w:val="nil"/>
              <w:left w:val="single" w:sz="4" w:space="0" w:color="auto"/>
              <w:bottom w:val="single" w:sz="4" w:space="0" w:color="auto"/>
              <w:right w:val="nil"/>
            </w:tcBorders>
            <w:shd w:val="clear" w:color="auto" w:fill="auto"/>
            <w:noWrap/>
            <w:vAlign w:val="bottom"/>
            <w:hideMark/>
          </w:tcPr>
          <w:p w:rsidR="00A44F5C" w:rsidRPr="00E62F41" w:rsidRDefault="00A44F5C" w:rsidP="00714358">
            <w:pPr>
              <w:jc w:val="center"/>
              <w:rPr>
                <w:b/>
                <w:color w:val="000000"/>
              </w:rPr>
            </w:pPr>
            <w:r w:rsidRPr="00E62F41">
              <w:rPr>
                <w:b/>
                <w:color w:val="000000"/>
              </w:rPr>
              <w:t>Mean</w:t>
            </w:r>
          </w:p>
        </w:tc>
        <w:tc>
          <w:tcPr>
            <w:tcW w:w="600" w:type="pct"/>
            <w:tcBorders>
              <w:top w:val="nil"/>
              <w:left w:val="nil"/>
              <w:bottom w:val="single" w:sz="4" w:space="0" w:color="auto"/>
              <w:right w:val="nil"/>
            </w:tcBorders>
            <w:shd w:val="clear" w:color="auto" w:fill="auto"/>
            <w:noWrap/>
            <w:vAlign w:val="bottom"/>
            <w:hideMark/>
          </w:tcPr>
          <w:p w:rsidR="00A44F5C" w:rsidRPr="00E62F41" w:rsidRDefault="00A44F5C" w:rsidP="00714358">
            <w:pPr>
              <w:jc w:val="center"/>
              <w:rPr>
                <w:b/>
                <w:color w:val="000000"/>
              </w:rPr>
            </w:pPr>
            <w:r w:rsidRPr="00E62F41">
              <w:rPr>
                <w:b/>
                <w:color w:val="000000"/>
              </w:rPr>
              <w:t>Median</w:t>
            </w:r>
          </w:p>
        </w:tc>
        <w:tc>
          <w:tcPr>
            <w:tcW w:w="600" w:type="pct"/>
            <w:tcBorders>
              <w:top w:val="nil"/>
              <w:left w:val="nil"/>
              <w:bottom w:val="single" w:sz="4" w:space="0" w:color="auto"/>
              <w:right w:val="nil"/>
            </w:tcBorders>
            <w:shd w:val="clear" w:color="auto" w:fill="auto"/>
            <w:noWrap/>
            <w:vAlign w:val="bottom"/>
            <w:hideMark/>
          </w:tcPr>
          <w:p w:rsidR="00A44F5C" w:rsidRPr="00E62F41" w:rsidRDefault="00A44F5C" w:rsidP="00A267D3">
            <w:pPr>
              <w:ind w:right="316"/>
              <w:jc w:val="center"/>
              <w:rPr>
                <w:b/>
                <w:color w:val="000000"/>
              </w:rPr>
            </w:pPr>
            <w:r>
              <w:rPr>
                <w:b/>
                <w:color w:val="000000"/>
              </w:rPr>
              <w:t xml:space="preserve"> </w:t>
            </w:r>
            <w:proofErr w:type="spellStart"/>
            <w:r w:rsidR="00A267D3">
              <w:rPr>
                <w:b/>
                <w:color w:val="000000"/>
              </w:rPr>
              <w:t>Std</w:t>
            </w:r>
            <w:r w:rsidR="00A267D3" w:rsidRPr="00E62F41">
              <w:rPr>
                <w:b/>
                <w:color w:val="000000"/>
              </w:rPr>
              <w:t>Dev</w:t>
            </w:r>
            <w:proofErr w:type="spellEnd"/>
            <w:r>
              <w:rPr>
                <w:b/>
                <w:color w:val="000000"/>
              </w:rPr>
              <w:t xml:space="preserve">    </w:t>
            </w:r>
            <w:proofErr w:type="spellStart"/>
            <w:r>
              <w:rPr>
                <w:b/>
                <w:color w:val="000000"/>
              </w:rPr>
              <w:t>StdDev</w:t>
            </w:r>
            <w:proofErr w:type="spellEnd"/>
            <w:r w:rsidRPr="00E62F41">
              <w:rPr>
                <w:b/>
                <w:color w:val="000000"/>
              </w:rPr>
              <w:t xml:space="preserve">  </w:t>
            </w:r>
          </w:p>
        </w:tc>
      </w:tr>
      <w:tr w:rsidR="00A267D3" w:rsidRPr="00E62F41" w:rsidTr="0061245A">
        <w:trPr>
          <w:trHeight w:hRule="exact" w:val="302"/>
          <w:jc w:val="center"/>
        </w:trPr>
        <w:tc>
          <w:tcPr>
            <w:tcW w:w="874" w:type="pct"/>
            <w:tcBorders>
              <w:top w:val="single" w:sz="4" w:space="0" w:color="auto"/>
              <w:left w:val="nil"/>
            </w:tcBorders>
            <w:shd w:val="clear" w:color="auto" w:fill="auto"/>
            <w:noWrap/>
            <w:vAlign w:val="bottom"/>
            <w:hideMark/>
          </w:tcPr>
          <w:p w:rsidR="00A44F5C" w:rsidRPr="00E62F41" w:rsidRDefault="00A44F5C" w:rsidP="00714358">
            <w:pPr>
              <w:rPr>
                <w:color w:val="000000"/>
              </w:rPr>
            </w:pPr>
            <w:r w:rsidRPr="00E62F41">
              <w:rPr>
                <w:color w:val="000000"/>
              </w:rPr>
              <w:t>Size</w:t>
            </w:r>
          </w:p>
        </w:tc>
        <w:tc>
          <w:tcPr>
            <w:tcW w:w="431" w:type="pct"/>
            <w:tcBorders>
              <w:top w:val="single" w:sz="4" w:space="0" w:color="auto"/>
            </w:tcBorders>
            <w:shd w:val="clear" w:color="auto" w:fill="auto"/>
            <w:noWrap/>
            <w:vAlign w:val="bottom"/>
            <w:hideMark/>
          </w:tcPr>
          <w:p w:rsidR="00A44F5C" w:rsidRPr="00E62F41" w:rsidRDefault="00A44F5C" w:rsidP="00714358">
            <w:pPr>
              <w:jc w:val="center"/>
              <w:rPr>
                <w:color w:val="000000"/>
              </w:rPr>
            </w:pPr>
            <w:r w:rsidRPr="00E62F41">
              <w:t>446</w:t>
            </w:r>
          </w:p>
        </w:tc>
        <w:tc>
          <w:tcPr>
            <w:tcW w:w="600" w:type="pct"/>
            <w:tcBorders>
              <w:top w:val="single" w:sz="4" w:space="0" w:color="auto"/>
            </w:tcBorders>
            <w:shd w:val="clear" w:color="auto" w:fill="auto"/>
            <w:noWrap/>
            <w:vAlign w:val="bottom"/>
            <w:hideMark/>
          </w:tcPr>
          <w:p w:rsidR="00A44F5C" w:rsidRPr="00E62F41" w:rsidRDefault="00A44F5C" w:rsidP="00A64C8D">
            <w:pPr>
              <w:jc w:val="center"/>
              <w:rPr>
                <w:color w:val="000000"/>
              </w:rPr>
            </w:pPr>
            <w:r w:rsidRPr="00E62F41">
              <w:t>5.4139</w:t>
            </w:r>
          </w:p>
        </w:tc>
        <w:tc>
          <w:tcPr>
            <w:tcW w:w="600" w:type="pct"/>
            <w:tcBorders>
              <w:top w:val="single" w:sz="4" w:space="0" w:color="auto"/>
            </w:tcBorders>
            <w:shd w:val="clear" w:color="auto" w:fill="auto"/>
            <w:noWrap/>
            <w:vAlign w:val="bottom"/>
            <w:hideMark/>
          </w:tcPr>
          <w:p w:rsidR="00A44F5C" w:rsidRPr="00E62F41" w:rsidRDefault="00A44F5C" w:rsidP="00714358">
            <w:pPr>
              <w:jc w:val="center"/>
              <w:rPr>
                <w:color w:val="000000"/>
              </w:rPr>
            </w:pPr>
            <w:r w:rsidRPr="00E62F41">
              <w:t>5.2078</w:t>
            </w:r>
          </w:p>
        </w:tc>
        <w:tc>
          <w:tcPr>
            <w:tcW w:w="600" w:type="pct"/>
            <w:tcBorders>
              <w:top w:val="single" w:sz="4" w:space="0" w:color="auto"/>
            </w:tcBorders>
            <w:shd w:val="clear" w:color="auto" w:fill="auto"/>
            <w:noWrap/>
            <w:vAlign w:val="bottom"/>
            <w:hideMark/>
          </w:tcPr>
          <w:p w:rsidR="00A44F5C" w:rsidRPr="00E62F41" w:rsidRDefault="00A44F5C" w:rsidP="00714358">
            <w:pPr>
              <w:jc w:val="center"/>
              <w:rPr>
                <w:color w:val="000000"/>
              </w:rPr>
            </w:pPr>
            <w:r w:rsidRPr="00E62F41">
              <w:t>2.2858</w:t>
            </w:r>
          </w:p>
        </w:tc>
        <w:tc>
          <w:tcPr>
            <w:tcW w:w="600" w:type="pct"/>
            <w:tcBorders>
              <w:top w:val="single" w:sz="4" w:space="0" w:color="auto"/>
              <w:left w:val="single" w:sz="4" w:space="0" w:color="auto"/>
            </w:tcBorders>
            <w:shd w:val="clear" w:color="auto" w:fill="auto"/>
            <w:noWrap/>
            <w:vAlign w:val="bottom"/>
            <w:hideMark/>
          </w:tcPr>
          <w:p w:rsidR="00A44F5C" w:rsidRPr="00E62F41" w:rsidRDefault="00A44F5C" w:rsidP="00A64C8D">
            <w:pPr>
              <w:jc w:val="center"/>
              <w:rPr>
                <w:color w:val="000000"/>
              </w:rPr>
            </w:pPr>
            <w:r w:rsidRPr="00E62F41">
              <w:t>5.2796</w:t>
            </w:r>
          </w:p>
        </w:tc>
        <w:tc>
          <w:tcPr>
            <w:tcW w:w="600" w:type="pct"/>
            <w:tcBorders>
              <w:top w:val="single" w:sz="4" w:space="0" w:color="auto"/>
            </w:tcBorders>
            <w:shd w:val="clear" w:color="auto" w:fill="auto"/>
            <w:noWrap/>
            <w:vAlign w:val="bottom"/>
            <w:hideMark/>
          </w:tcPr>
          <w:p w:rsidR="00A44F5C" w:rsidRPr="00E62F41" w:rsidRDefault="00A44F5C" w:rsidP="00714358">
            <w:pPr>
              <w:jc w:val="center"/>
              <w:rPr>
                <w:color w:val="000000"/>
              </w:rPr>
            </w:pPr>
            <w:r>
              <w:t xml:space="preserve"> </w:t>
            </w:r>
            <w:r w:rsidRPr="00E62F41">
              <w:t>5.2154</w:t>
            </w:r>
          </w:p>
        </w:tc>
        <w:tc>
          <w:tcPr>
            <w:tcW w:w="600" w:type="pct"/>
            <w:tcBorders>
              <w:top w:val="single" w:sz="4" w:space="0" w:color="auto"/>
              <w:right w:val="nil"/>
            </w:tcBorders>
            <w:shd w:val="clear" w:color="auto" w:fill="auto"/>
            <w:noWrap/>
            <w:vAlign w:val="bottom"/>
            <w:hideMark/>
          </w:tcPr>
          <w:p w:rsidR="00A44F5C" w:rsidRPr="00E62F41" w:rsidRDefault="00A267D3" w:rsidP="00A267D3">
            <w:pPr>
              <w:rPr>
                <w:color w:val="000000"/>
              </w:rPr>
            </w:pPr>
            <w:r>
              <w:t xml:space="preserve">   </w:t>
            </w:r>
            <w:r w:rsidR="004A564A">
              <w:t xml:space="preserve">  </w:t>
            </w:r>
            <w:r>
              <w:t xml:space="preserve"> </w:t>
            </w:r>
            <w:r w:rsidR="00A44F5C" w:rsidRPr="00E62F41">
              <w:t>1.2933</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proofErr w:type="spellStart"/>
            <w:r>
              <w:rPr>
                <w:color w:val="000000"/>
              </w:rPr>
              <w:t>NI_Assets</w:t>
            </w:r>
            <w:proofErr w:type="spellEnd"/>
          </w:p>
        </w:tc>
        <w:tc>
          <w:tcPr>
            <w:tcW w:w="431" w:type="pct"/>
            <w:shd w:val="clear" w:color="auto" w:fill="auto"/>
            <w:noWrap/>
            <w:vAlign w:val="bottom"/>
            <w:hideMark/>
          </w:tcPr>
          <w:p w:rsidR="00A44F5C" w:rsidRPr="00E62F41" w:rsidRDefault="00A44F5C" w:rsidP="00714358">
            <w:pPr>
              <w:jc w:val="cente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0.0361</w:t>
            </w:r>
          </w:p>
        </w:tc>
        <w:tc>
          <w:tcPr>
            <w:tcW w:w="600" w:type="pct"/>
            <w:shd w:val="clear" w:color="auto" w:fill="auto"/>
            <w:noWrap/>
            <w:vAlign w:val="bottom"/>
            <w:hideMark/>
          </w:tcPr>
          <w:p w:rsidR="00A44F5C" w:rsidRPr="00E62F41" w:rsidRDefault="00A44F5C" w:rsidP="00714358">
            <w:pPr>
              <w:jc w:val="center"/>
              <w:rPr>
                <w:color w:val="000000"/>
              </w:rPr>
            </w:pPr>
            <w:r w:rsidRPr="00E62F41">
              <w:t>0.0358</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0.0809</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0.0316</w:t>
            </w:r>
          </w:p>
        </w:tc>
        <w:tc>
          <w:tcPr>
            <w:tcW w:w="600" w:type="pct"/>
            <w:shd w:val="clear" w:color="auto" w:fill="auto"/>
            <w:noWrap/>
            <w:vAlign w:val="bottom"/>
            <w:hideMark/>
          </w:tcPr>
          <w:p w:rsidR="00A44F5C" w:rsidRPr="00E62F41" w:rsidRDefault="00A44F5C" w:rsidP="00714358">
            <w:pPr>
              <w:jc w:val="center"/>
              <w:rPr>
                <w:color w:val="000000"/>
              </w:rPr>
            </w:pPr>
            <w:r w:rsidRPr="00E62F41">
              <w:t>0.0376</w:t>
            </w:r>
          </w:p>
        </w:tc>
        <w:tc>
          <w:tcPr>
            <w:tcW w:w="600" w:type="pct"/>
            <w:shd w:val="clear" w:color="auto" w:fill="auto"/>
            <w:noWrap/>
            <w:vAlign w:val="bottom"/>
            <w:hideMark/>
          </w:tcPr>
          <w:p w:rsidR="00A44F5C" w:rsidRPr="00E62F41" w:rsidRDefault="00A44F5C" w:rsidP="00714358">
            <w:pPr>
              <w:jc w:val="center"/>
              <w:rPr>
                <w:color w:val="000000"/>
              </w:rPr>
            </w:pPr>
            <w:r w:rsidRPr="00E62F41">
              <w:t>0.0673</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Sales Growth</w:t>
            </w:r>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0.1576</w:t>
            </w:r>
          </w:p>
        </w:tc>
        <w:tc>
          <w:tcPr>
            <w:tcW w:w="600" w:type="pct"/>
            <w:shd w:val="clear" w:color="auto" w:fill="auto"/>
            <w:noWrap/>
            <w:vAlign w:val="bottom"/>
            <w:hideMark/>
          </w:tcPr>
          <w:p w:rsidR="00A44F5C" w:rsidRPr="00E62F41" w:rsidRDefault="00A44F5C" w:rsidP="00714358">
            <w:pPr>
              <w:jc w:val="center"/>
              <w:rPr>
                <w:color w:val="000000"/>
              </w:rPr>
            </w:pPr>
            <w:r w:rsidRPr="00E62F41">
              <w:t>0.0676</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0.3519</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0.1562</w:t>
            </w:r>
          </w:p>
        </w:tc>
        <w:tc>
          <w:tcPr>
            <w:tcW w:w="600" w:type="pct"/>
            <w:shd w:val="clear" w:color="auto" w:fill="auto"/>
            <w:noWrap/>
            <w:vAlign w:val="bottom"/>
            <w:hideMark/>
          </w:tcPr>
          <w:p w:rsidR="00A44F5C" w:rsidRPr="00E62F41" w:rsidRDefault="00A44F5C" w:rsidP="00714358">
            <w:pPr>
              <w:jc w:val="center"/>
              <w:rPr>
                <w:color w:val="000000"/>
              </w:rPr>
            </w:pPr>
            <w:r w:rsidRPr="00E62F41">
              <w:t>0.1035</w:t>
            </w:r>
          </w:p>
        </w:tc>
        <w:tc>
          <w:tcPr>
            <w:tcW w:w="600" w:type="pct"/>
            <w:shd w:val="clear" w:color="auto" w:fill="auto"/>
            <w:noWrap/>
            <w:vAlign w:val="bottom"/>
            <w:hideMark/>
          </w:tcPr>
          <w:p w:rsidR="00A44F5C" w:rsidRPr="00E62F41" w:rsidRDefault="00A44F5C" w:rsidP="00714358">
            <w:pPr>
              <w:jc w:val="center"/>
              <w:rPr>
                <w:color w:val="000000"/>
              </w:rPr>
            </w:pPr>
            <w:r w:rsidRPr="00E62F41">
              <w:t>0.2858</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Leverage</w:t>
            </w:r>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0.5863</w:t>
            </w:r>
          </w:p>
        </w:tc>
        <w:tc>
          <w:tcPr>
            <w:tcW w:w="600" w:type="pct"/>
            <w:shd w:val="clear" w:color="auto" w:fill="auto"/>
            <w:noWrap/>
            <w:vAlign w:val="bottom"/>
            <w:hideMark/>
          </w:tcPr>
          <w:p w:rsidR="00A44F5C" w:rsidRPr="00E62F41" w:rsidRDefault="00A44F5C" w:rsidP="00714358">
            <w:pPr>
              <w:jc w:val="center"/>
              <w:rPr>
                <w:color w:val="000000"/>
              </w:rPr>
            </w:pPr>
            <w:r w:rsidRPr="00E62F41">
              <w:t>0.5903</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0.1737</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0.5900</w:t>
            </w:r>
          </w:p>
        </w:tc>
        <w:tc>
          <w:tcPr>
            <w:tcW w:w="600" w:type="pct"/>
            <w:shd w:val="clear" w:color="auto" w:fill="auto"/>
            <w:noWrap/>
            <w:vAlign w:val="bottom"/>
            <w:hideMark/>
          </w:tcPr>
          <w:p w:rsidR="00A44F5C" w:rsidRPr="00E62F41" w:rsidRDefault="00A44F5C" w:rsidP="00714358">
            <w:pPr>
              <w:jc w:val="center"/>
              <w:rPr>
                <w:color w:val="000000"/>
              </w:rPr>
            </w:pPr>
            <w:r w:rsidRPr="00E62F41">
              <w:t>0.6060</w:t>
            </w:r>
          </w:p>
        </w:tc>
        <w:tc>
          <w:tcPr>
            <w:tcW w:w="600" w:type="pct"/>
            <w:shd w:val="clear" w:color="auto" w:fill="auto"/>
            <w:noWrap/>
            <w:vAlign w:val="bottom"/>
            <w:hideMark/>
          </w:tcPr>
          <w:p w:rsidR="00A44F5C" w:rsidRPr="00E62F41" w:rsidRDefault="00A44F5C" w:rsidP="00714358">
            <w:pPr>
              <w:jc w:val="center"/>
              <w:rPr>
                <w:color w:val="000000"/>
              </w:rPr>
            </w:pPr>
            <w:r w:rsidRPr="00E62F41">
              <w:t>0.1798</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Turn</w:t>
            </w:r>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1.2213</w:t>
            </w:r>
          </w:p>
        </w:tc>
        <w:tc>
          <w:tcPr>
            <w:tcW w:w="600" w:type="pct"/>
            <w:shd w:val="clear" w:color="auto" w:fill="auto"/>
            <w:noWrap/>
            <w:vAlign w:val="bottom"/>
            <w:hideMark/>
          </w:tcPr>
          <w:p w:rsidR="00A44F5C" w:rsidRPr="00E62F41" w:rsidRDefault="00A44F5C" w:rsidP="00714358">
            <w:pPr>
              <w:jc w:val="center"/>
              <w:rPr>
                <w:color w:val="000000"/>
              </w:rPr>
            </w:pPr>
            <w:r w:rsidRPr="00E62F41">
              <w:t>1.0928</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0.6582</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1.1979</w:t>
            </w:r>
          </w:p>
        </w:tc>
        <w:tc>
          <w:tcPr>
            <w:tcW w:w="600" w:type="pct"/>
            <w:shd w:val="clear" w:color="auto" w:fill="auto"/>
            <w:noWrap/>
            <w:vAlign w:val="bottom"/>
            <w:hideMark/>
          </w:tcPr>
          <w:p w:rsidR="00A44F5C" w:rsidRPr="00E62F41" w:rsidRDefault="00A44F5C" w:rsidP="00714358">
            <w:pPr>
              <w:jc w:val="center"/>
              <w:rPr>
                <w:color w:val="000000"/>
              </w:rPr>
            </w:pPr>
            <w:r w:rsidRPr="00E62F41">
              <w:t>1.1643</w:t>
            </w:r>
          </w:p>
        </w:tc>
        <w:tc>
          <w:tcPr>
            <w:tcW w:w="600" w:type="pct"/>
            <w:shd w:val="clear" w:color="auto" w:fill="auto"/>
            <w:noWrap/>
            <w:vAlign w:val="bottom"/>
            <w:hideMark/>
          </w:tcPr>
          <w:p w:rsidR="00A44F5C" w:rsidRPr="00E62F41" w:rsidRDefault="00A44F5C" w:rsidP="00714358">
            <w:pPr>
              <w:jc w:val="center"/>
              <w:rPr>
                <w:color w:val="000000"/>
              </w:rPr>
            </w:pPr>
            <w:r w:rsidRPr="00E62F41">
              <w:t>0.6277</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Auditor</w:t>
            </w:r>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0.6435</w:t>
            </w:r>
          </w:p>
        </w:tc>
        <w:tc>
          <w:tcPr>
            <w:tcW w:w="600" w:type="pct"/>
            <w:shd w:val="clear" w:color="auto" w:fill="auto"/>
            <w:noWrap/>
            <w:vAlign w:val="bottom"/>
            <w:hideMark/>
          </w:tcPr>
          <w:p w:rsidR="00A44F5C" w:rsidRPr="00E62F41" w:rsidRDefault="00A44F5C" w:rsidP="00714358">
            <w:pPr>
              <w:jc w:val="center"/>
              <w:rPr>
                <w:color w:val="000000"/>
              </w:rPr>
            </w:pPr>
            <w:r w:rsidRPr="00E62F41">
              <w:t>1.0000</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0.4795</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0.6278</w:t>
            </w:r>
          </w:p>
        </w:tc>
        <w:tc>
          <w:tcPr>
            <w:tcW w:w="600" w:type="pct"/>
            <w:shd w:val="clear" w:color="auto" w:fill="auto"/>
            <w:noWrap/>
            <w:vAlign w:val="bottom"/>
            <w:hideMark/>
          </w:tcPr>
          <w:p w:rsidR="00A44F5C" w:rsidRPr="00E62F41" w:rsidRDefault="00A44F5C" w:rsidP="00714358">
            <w:pPr>
              <w:jc w:val="center"/>
              <w:rPr>
                <w:color w:val="000000"/>
              </w:rPr>
            </w:pPr>
            <w:r w:rsidRPr="00E62F41">
              <w:t>1.0000</w:t>
            </w:r>
          </w:p>
        </w:tc>
        <w:tc>
          <w:tcPr>
            <w:tcW w:w="600" w:type="pct"/>
            <w:shd w:val="clear" w:color="auto" w:fill="auto"/>
            <w:noWrap/>
            <w:vAlign w:val="bottom"/>
            <w:hideMark/>
          </w:tcPr>
          <w:p w:rsidR="00A44F5C" w:rsidRPr="00E62F41" w:rsidRDefault="00A44F5C" w:rsidP="00714358">
            <w:pPr>
              <w:jc w:val="center"/>
              <w:rPr>
                <w:color w:val="000000"/>
              </w:rPr>
            </w:pPr>
            <w:r w:rsidRPr="00E62F41">
              <w:t>0.4839</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USGAAP_IFRS</w:t>
            </w:r>
          </w:p>
        </w:tc>
        <w:tc>
          <w:tcPr>
            <w:tcW w:w="431" w:type="pct"/>
            <w:shd w:val="clear" w:color="auto" w:fill="auto"/>
            <w:noWrap/>
            <w:vAlign w:val="bottom"/>
            <w:hideMark/>
          </w:tcPr>
          <w:p w:rsidR="00A44F5C" w:rsidRPr="00E62F41" w:rsidRDefault="00A44F5C" w:rsidP="00714358">
            <w:pPr>
              <w:jc w:val="cente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0.0112</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0.1054</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0.0135</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shd w:val="clear" w:color="auto" w:fill="auto"/>
            <w:noWrap/>
            <w:vAlign w:val="bottom"/>
            <w:hideMark/>
          </w:tcPr>
          <w:p w:rsidR="00A44F5C" w:rsidRPr="00E62F41" w:rsidRDefault="00A44F5C" w:rsidP="00714358">
            <w:pPr>
              <w:jc w:val="center"/>
              <w:rPr>
                <w:color w:val="000000"/>
              </w:rPr>
            </w:pPr>
            <w:r w:rsidRPr="00E62F41">
              <w:t>0.1153</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USCROSSLISTED</w:t>
            </w:r>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0.0000</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0.0000</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0.0022</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shd w:val="clear" w:color="auto" w:fill="auto"/>
            <w:noWrap/>
            <w:vAlign w:val="bottom"/>
            <w:hideMark/>
          </w:tcPr>
          <w:p w:rsidR="00A44F5C" w:rsidRPr="00E62F41" w:rsidRDefault="00A44F5C" w:rsidP="00714358">
            <w:pPr>
              <w:jc w:val="center"/>
              <w:rPr>
                <w:color w:val="000000"/>
              </w:rPr>
            </w:pPr>
            <w:r w:rsidRPr="00E62F41">
              <w:t>0.0474</w:t>
            </w:r>
          </w:p>
        </w:tc>
      </w:tr>
      <w:tr w:rsidR="00A267D3" w:rsidRPr="00E62F41" w:rsidTr="0061245A">
        <w:trPr>
          <w:trHeight w:hRule="exact" w:val="302"/>
          <w:jc w:val="center"/>
        </w:trPr>
        <w:tc>
          <w:tcPr>
            <w:tcW w:w="874" w:type="pct"/>
            <w:shd w:val="clear" w:color="auto" w:fill="auto"/>
            <w:noWrap/>
            <w:vAlign w:val="bottom"/>
            <w:hideMark/>
          </w:tcPr>
          <w:p w:rsidR="00A44F5C" w:rsidRPr="00E62F41" w:rsidRDefault="00A44F5C" w:rsidP="00714358">
            <w:pPr>
              <w:rPr>
                <w:color w:val="000000"/>
              </w:rPr>
            </w:pPr>
            <w:r w:rsidRPr="00E62F41">
              <w:rPr>
                <w:color w:val="000000"/>
              </w:rPr>
              <w:t xml:space="preserve"># </w:t>
            </w:r>
            <w:proofErr w:type="spellStart"/>
            <w:r w:rsidRPr="00E62F41">
              <w:rPr>
                <w:color w:val="000000"/>
              </w:rPr>
              <w:t>FExchanges</w:t>
            </w:r>
            <w:proofErr w:type="spellEnd"/>
          </w:p>
        </w:tc>
        <w:tc>
          <w:tcPr>
            <w:tcW w:w="431" w:type="pct"/>
            <w:shd w:val="clear" w:color="auto" w:fill="auto"/>
            <w:noWrap/>
            <w:vAlign w:val="bottom"/>
            <w:hideMark/>
          </w:tcPr>
          <w:p w:rsidR="00A44F5C" w:rsidRPr="00E62F41" w:rsidRDefault="00A44F5C" w:rsidP="00714358">
            <w:pPr>
              <w:jc w:val="center"/>
              <w:rPr>
                <w:color w:val="000000"/>
              </w:rPr>
            </w:pPr>
            <w:r w:rsidRPr="00E62F41">
              <w:t>446</w:t>
            </w:r>
          </w:p>
        </w:tc>
        <w:tc>
          <w:tcPr>
            <w:tcW w:w="600" w:type="pct"/>
            <w:shd w:val="clear" w:color="auto" w:fill="auto"/>
            <w:noWrap/>
            <w:vAlign w:val="bottom"/>
            <w:hideMark/>
          </w:tcPr>
          <w:p w:rsidR="00A44F5C" w:rsidRPr="00E62F41" w:rsidRDefault="00A44F5C" w:rsidP="00A64C8D">
            <w:pPr>
              <w:jc w:val="center"/>
              <w:rPr>
                <w:color w:val="000000"/>
              </w:rPr>
            </w:pPr>
            <w:r w:rsidRPr="00E62F41">
              <w:t>0.1682</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tcBorders>
              <w:right w:val="single" w:sz="4" w:space="0" w:color="auto"/>
            </w:tcBorders>
            <w:shd w:val="clear" w:color="auto" w:fill="auto"/>
            <w:noWrap/>
            <w:vAlign w:val="bottom"/>
            <w:hideMark/>
          </w:tcPr>
          <w:p w:rsidR="00A44F5C" w:rsidRPr="00E62F41" w:rsidRDefault="00A44F5C" w:rsidP="00714358">
            <w:pPr>
              <w:jc w:val="center"/>
              <w:rPr>
                <w:color w:val="000000"/>
              </w:rPr>
            </w:pPr>
            <w:r w:rsidRPr="00E62F41">
              <w:t>0.6575</w:t>
            </w:r>
          </w:p>
        </w:tc>
        <w:tc>
          <w:tcPr>
            <w:tcW w:w="600" w:type="pct"/>
            <w:tcBorders>
              <w:left w:val="single" w:sz="4" w:space="0" w:color="auto"/>
            </w:tcBorders>
            <w:shd w:val="clear" w:color="auto" w:fill="auto"/>
            <w:noWrap/>
            <w:vAlign w:val="bottom"/>
            <w:hideMark/>
          </w:tcPr>
          <w:p w:rsidR="00A44F5C" w:rsidRPr="00E62F41" w:rsidRDefault="00A44F5C" w:rsidP="00A64C8D">
            <w:pPr>
              <w:jc w:val="center"/>
              <w:rPr>
                <w:color w:val="000000"/>
              </w:rPr>
            </w:pPr>
            <w:r w:rsidRPr="00E62F41">
              <w:t>0.2175</w:t>
            </w:r>
          </w:p>
        </w:tc>
        <w:tc>
          <w:tcPr>
            <w:tcW w:w="600" w:type="pct"/>
            <w:shd w:val="clear" w:color="auto" w:fill="auto"/>
            <w:noWrap/>
            <w:vAlign w:val="bottom"/>
            <w:hideMark/>
          </w:tcPr>
          <w:p w:rsidR="00A44F5C" w:rsidRPr="00E62F41" w:rsidRDefault="00A44F5C" w:rsidP="00714358">
            <w:pPr>
              <w:jc w:val="center"/>
              <w:rPr>
                <w:color w:val="000000"/>
              </w:rPr>
            </w:pPr>
            <w:r w:rsidRPr="00E62F41">
              <w:t>0.0000</w:t>
            </w:r>
          </w:p>
        </w:tc>
        <w:tc>
          <w:tcPr>
            <w:tcW w:w="600" w:type="pct"/>
            <w:shd w:val="clear" w:color="auto" w:fill="auto"/>
            <w:noWrap/>
            <w:vAlign w:val="bottom"/>
            <w:hideMark/>
          </w:tcPr>
          <w:p w:rsidR="00A44F5C" w:rsidRPr="00E62F41" w:rsidRDefault="00A44F5C" w:rsidP="00714358">
            <w:pPr>
              <w:jc w:val="center"/>
              <w:rPr>
                <w:color w:val="000000"/>
              </w:rPr>
            </w:pPr>
            <w:r w:rsidRPr="00E62F41">
              <w:t>0.7583</w:t>
            </w:r>
          </w:p>
        </w:tc>
      </w:tr>
      <w:tr w:rsidR="00A267D3" w:rsidRPr="00E62F41" w:rsidTr="0061245A">
        <w:trPr>
          <w:trHeight w:hRule="exact" w:val="302"/>
          <w:jc w:val="center"/>
        </w:trPr>
        <w:tc>
          <w:tcPr>
            <w:tcW w:w="874" w:type="pct"/>
            <w:tcBorders>
              <w:left w:val="nil"/>
              <w:bottom w:val="single" w:sz="12" w:space="0" w:color="auto"/>
              <w:right w:val="nil"/>
            </w:tcBorders>
            <w:shd w:val="clear" w:color="auto" w:fill="auto"/>
            <w:noWrap/>
            <w:vAlign w:val="bottom"/>
            <w:hideMark/>
          </w:tcPr>
          <w:p w:rsidR="00A44F5C" w:rsidRPr="00E62F41" w:rsidRDefault="00A44F5C" w:rsidP="00714358">
            <w:pPr>
              <w:rPr>
                <w:color w:val="000000"/>
              </w:rPr>
            </w:pPr>
            <w:proofErr w:type="spellStart"/>
            <w:r w:rsidRPr="00E62F41">
              <w:rPr>
                <w:color w:val="000000"/>
              </w:rPr>
              <w:t>res_std</w:t>
            </w:r>
            <w:proofErr w:type="spellEnd"/>
          </w:p>
        </w:tc>
        <w:tc>
          <w:tcPr>
            <w:tcW w:w="431" w:type="pct"/>
            <w:tcBorders>
              <w:left w:val="nil"/>
              <w:bottom w:val="single" w:sz="12" w:space="0" w:color="auto"/>
              <w:right w:val="nil"/>
            </w:tcBorders>
            <w:shd w:val="clear" w:color="auto" w:fill="auto"/>
            <w:noWrap/>
            <w:vAlign w:val="bottom"/>
            <w:hideMark/>
          </w:tcPr>
          <w:p w:rsidR="00A44F5C" w:rsidRPr="00E62F41" w:rsidRDefault="00A44F5C" w:rsidP="00714358">
            <w:pPr>
              <w:jc w:val="center"/>
            </w:pPr>
            <w:r w:rsidRPr="00E62F41">
              <w:t>446</w:t>
            </w:r>
          </w:p>
        </w:tc>
        <w:tc>
          <w:tcPr>
            <w:tcW w:w="600" w:type="pct"/>
            <w:tcBorders>
              <w:left w:val="nil"/>
              <w:bottom w:val="single" w:sz="12" w:space="0" w:color="auto"/>
              <w:right w:val="nil"/>
            </w:tcBorders>
            <w:shd w:val="clear" w:color="auto" w:fill="auto"/>
            <w:noWrap/>
            <w:vAlign w:val="bottom"/>
            <w:hideMark/>
          </w:tcPr>
          <w:p w:rsidR="00A44F5C" w:rsidRPr="00E62F41" w:rsidRDefault="00A44F5C" w:rsidP="00A64C8D">
            <w:pPr>
              <w:jc w:val="center"/>
            </w:pPr>
            <w:r w:rsidRPr="00E62F41">
              <w:t>0.0215</w:t>
            </w:r>
          </w:p>
        </w:tc>
        <w:tc>
          <w:tcPr>
            <w:tcW w:w="600" w:type="pct"/>
            <w:tcBorders>
              <w:left w:val="nil"/>
              <w:bottom w:val="single" w:sz="12" w:space="0" w:color="auto"/>
              <w:right w:val="nil"/>
            </w:tcBorders>
            <w:shd w:val="clear" w:color="auto" w:fill="auto"/>
            <w:noWrap/>
            <w:vAlign w:val="bottom"/>
            <w:hideMark/>
          </w:tcPr>
          <w:p w:rsidR="00A44F5C" w:rsidRPr="00E62F41" w:rsidRDefault="00A44F5C" w:rsidP="00714358">
            <w:pPr>
              <w:jc w:val="center"/>
            </w:pPr>
            <w:r w:rsidRPr="00E62F41">
              <w:t>0.0190</w:t>
            </w:r>
          </w:p>
        </w:tc>
        <w:tc>
          <w:tcPr>
            <w:tcW w:w="600" w:type="pct"/>
            <w:tcBorders>
              <w:left w:val="nil"/>
              <w:bottom w:val="single" w:sz="12" w:space="0" w:color="auto"/>
              <w:right w:val="nil"/>
            </w:tcBorders>
            <w:shd w:val="clear" w:color="auto" w:fill="auto"/>
            <w:noWrap/>
            <w:vAlign w:val="bottom"/>
            <w:hideMark/>
          </w:tcPr>
          <w:p w:rsidR="00A44F5C" w:rsidRPr="00E62F41" w:rsidRDefault="00A44F5C" w:rsidP="00714358">
            <w:pPr>
              <w:jc w:val="center"/>
            </w:pPr>
            <w:r w:rsidRPr="00E62F41">
              <w:t>0.0143</w:t>
            </w:r>
          </w:p>
        </w:tc>
        <w:tc>
          <w:tcPr>
            <w:tcW w:w="600" w:type="pct"/>
            <w:tcBorders>
              <w:left w:val="single" w:sz="4" w:space="0" w:color="auto"/>
              <w:bottom w:val="single" w:sz="12" w:space="0" w:color="auto"/>
            </w:tcBorders>
            <w:shd w:val="clear" w:color="auto" w:fill="auto"/>
            <w:noWrap/>
            <w:vAlign w:val="bottom"/>
            <w:hideMark/>
          </w:tcPr>
          <w:p w:rsidR="00A44F5C" w:rsidRPr="00E62F41" w:rsidRDefault="00A64C8D" w:rsidP="00A64C8D">
            <w:pPr>
              <w:jc w:val="center"/>
            </w:pPr>
            <w:r>
              <w:t xml:space="preserve">    </w:t>
            </w:r>
            <w:r w:rsidR="00A44F5C">
              <w:t>0</w:t>
            </w:r>
            <w:r w:rsidR="00A44F5C" w:rsidRPr="00E62F41">
              <w:t>.0245***</w:t>
            </w:r>
          </w:p>
        </w:tc>
        <w:tc>
          <w:tcPr>
            <w:tcW w:w="600" w:type="pct"/>
            <w:tcBorders>
              <w:left w:val="nil"/>
              <w:bottom w:val="single" w:sz="12" w:space="0" w:color="auto"/>
            </w:tcBorders>
            <w:shd w:val="clear" w:color="auto" w:fill="auto"/>
            <w:noWrap/>
            <w:vAlign w:val="bottom"/>
            <w:hideMark/>
          </w:tcPr>
          <w:p w:rsidR="00A44F5C" w:rsidRPr="00E62F41" w:rsidRDefault="00A64C8D" w:rsidP="00A267D3">
            <w:r>
              <w:t xml:space="preserve">     </w:t>
            </w:r>
            <w:r w:rsidR="00A44F5C" w:rsidRPr="00E62F41">
              <w:t>0.0210***</w:t>
            </w:r>
          </w:p>
        </w:tc>
        <w:tc>
          <w:tcPr>
            <w:tcW w:w="600" w:type="pct"/>
            <w:tcBorders>
              <w:left w:val="nil"/>
              <w:bottom w:val="single" w:sz="12" w:space="0" w:color="auto"/>
              <w:right w:val="nil"/>
            </w:tcBorders>
            <w:shd w:val="clear" w:color="auto" w:fill="auto"/>
            <w:noWrap/>
            <w:vAlign w:val="bottom"/>
            <w:hideMark/>
          </w:tcPr>
          <w:p w:rsidR="00A44F5C" w:rsidRPr="00E62F41" w:rsidRDefault="00A44F5C" w:rsidP="00714358">
            <w:pPr>
              <w:jc w:val="center"/>
            </w:pPr>
            <w:r w:rsidRPr="00E62F41">
              <w:t>0.0136</w:t>
            </w:r>
          </w:p>
        </w:tc>
      </w:tr>
    </w:tbl>
    <w:p w:rsidR="00A44F5C" w:rsidRDefault="00A44F5C" w:rsidP="00A44F5C">
      <w:pPr>
        <w:jc w:val="center"/>
        <w:rPr>
          <w:color w:val="000000"/>
          <w:u w:val="single"/>
        </w:rPr>
      </w:pPr>
    </w:p>
    <w:tbl>
      <w:tblPr>
        <w:tblW w:w="5000" w:type="pct"/>
        <w:jc w:val="center"/>
        <w:tblLook w:val="04A0" w:firstRow="1" w:lastRow="0" w:firstColumn="1" w:lastColumn="0" w:noHBand="0" w:noVBand="1"/>
      </w:tblPr>
      <w:tblGrid>
        <w:gridCol w:w="2360"/>
        <w:gridCol w:w="1144"/>
        <w:gridCol w:w="1613"/>
        <w:gridCol w:w="1613"/>
        <w:gridCol w:w="1613"/>
        <w:gridCol w:w="1613"/>
        <w:gridCol w:w="1613"/>
        <w:gridCol w:w="1607"/>
      </w:tblGrid>
      <w:tr w:rsidR="00A44F5C" w:rsidRPr="00511ED1" w:rsidTr="0061245A">
        <w:trPr>
          <w:trHeight w:hRule="exact" w:val="317"/>
          <w:jc w:val="center"/>
        </w:trPr>
        <w:tc>
          <w:tcPr>
            <w:tcW w:w="3164" w:type="pct"/>
            <w:gridSpan w:val="5"/>
            <w:tcBorders>
              <w:top w:val="single" w:sz="12" w:space="0" w:color="auto"/>
            </w:tcBorders>
            <w:shd w:val="clear" w:color="auto" w:fill="auto"/>
            <w:noWrap/>
            <w:vAlign w:val="bottom"/>
            <w:hideMark/>
          </w:tcPr>
          <w:p w:rsidR="00A44F5C" w:rsidRPr="00E62F41" w:rsidRDefault="00A64C8D" w:rsidP="00A64C8D">
            <w:pPr>
              <w:rPr>
                <w:color w:val="000000"/>
              </w:rPr>
            </w:pPr>
            <w:r w:rsidRPr="00A64C8D">
              <w:rPr>
                <w:b/>
                <w:bCs/>
                <w:color w:val="000000"/>
              </w:rPr>
              <w:t xml:space="preserve">                    </w:t>
            </w:r>
            <w:r w:rsidR="00A44F5C" w:rsidRPr="00E62F41">
              <w:rPr>
                <w:b/>
                <w:bCs/>
                <w:color w:val="000000"/>
                <w:u w:val="single"/>
              </w:rPr>
              <w:t>Post-merger</w:t>
            </w:r>
          </w:p>
        </w:tc>
        <w:tc>
          <w:tcPr>
            <w:tcW w:w="1836" w:type="pct"/>
            <w:gridSpan w:val="3"/>
            <w:tcBorders>
              <w:top w:val="single" w:sz="12" w:space="0" w:color="auto"/>
              <w:left w:val="nil"/>
            </w:tcBorders>
            <w:shd w:val="clear" w:color="auto" w:fill="auto"/>
            <w:noWrap/>
            <w:vAlign w:val="bottom"/>
            <w:hideMark/>
          </w:tcPr>
          <w:p w:rsidR="00A44F5C" w:rsidRPr="00E62F41" w:rsidRDefault="00A44F5C" w:rsidP="00714358">
            <w:pPr>
              <w:jc w:val="center"/>
              <w:rPr>
                <w:color w:val="000000"/>
              </w:rPr>
            </w:pPr>
          </w:p>
        </w:tc>
      </w:tr>
      <w:tr w:rsidR="0061245A" w:rsidRPr="00511ED1" w:rsidTr="0061245A">
        <w:trPr>
          <w:trHeight w:hRule="exact" w:val="317"/>
          <w:jc w:val="center"/>
        </w:trPr>
        <w:tc>
          <w:tcPr>
            <w:tcW w:w="1329" w:type="pct"/>
            <w:gridSpan w:val="2"/>
            <w:shd w:val="clear" w:color="auto" w:fill="auto"/>
            <w:noWrap/>
            <w:vAlign w:val="bottom"/>
            <w:hideMark/>
          </w:tcPr>
          <w:p w:rsidR="0061245A" w:rsidRPr="00E62F41" w:rsidRDefault="0061245A" w:rsidP="00714358">
            <w:pPr>
              <w:jc w:val="center"/>
              <w:rPr>
                <w:color w:val="000000"/>
              </w:rPr>
            </w:pPr>
          </w:p>
        </w:tc>
        <w:tc>
          <w:tcPr>
            <w:tcW w:w="1835" w:type="pct"/>
            <w:gridSpan w:val="3"/>
            <w:tcBorders>
              <w:left w:val="nil"/>
              <w:bottom w:val="single" w:sz="4" w:space="0" w:color="auto"/>
            </w:tcBorders>
            <w:shd w:val="clear" w:color="auto" w:fill="auto"/>
            <w:noWrap/>
            <w:vAlign w:val="bottom"/>
            <w:hideMark/>
          </w:tcPr>
          <w:p w:rsidR="0061245A" w:rsidRPr="00E62F41" w:rsidRDefault="0061245A" w:rsidP="00714358">
            <w:pPr>
              <w:jc w:val="center"/>
              <w:rPr>
                <w:b/>
                <w:color w:val="000000"/>
              </w:rPr>
            </w:pPr>
            <w:r w:rsidRPr="00E62F41">
              <w:rPr>
                <w:b/>
                <w:color w:val="000000"/>
              </w:rPr>
              <w:t>Non-segment</w:t>
            </w:r>
          </w:p>
        </w:tc>
        <w:tc>
          <w:tcPr>
            <w:tcW w:w="1836" w:type="pct"/>
            <w:gridSpan w:val="3"/>
            <w:tcBorders>
              <w:left w:val="nil"/>
              <w:bottom w:val="single" w:sz="4" w:space="0" w:color="auto"/>
            </w:tcBorders>
            <w:shd w:val="clear" w:color="auto" w:fill="auto"/>
            <w:noWrap/>
            <w:vAlign w:val="bottom"/>
            <w:hideMark/>
          </w:tcPr>
          <w:p w:rsidR="0061245A" w:rsidRPr="00E62F41" w:rsidRDefault="0061245A" w:rsidP="00714358">
            <w:pPr>
              <w:jc w:val="center"/>
              <w:rPr>
                <w:b/>
                <w:color w:val="000000"/>
              </w:rPr>
            </w:pPr>
            <w:r w:rsidRPr="00E62F41">
              <w:rPr>
                <w:b/>
                <w:color w:val="000000"/>
              </w:rPr>
              <w:t>Segment</w:t>
            </w:r>
          </w:p>
        </w:tc>
      </w:tr>
      <w:tr w:rsidR="0061245A" w:rsidRPr="00511ED1" w:rsidTr="0061245A">
        <w:trPr>
          <w:trHeight w:hRule="exact" w:val="317"/>
          <w:jc w:val="center"/>
        </w:trPr>
        <w:tc>
          <w:tcPr>
            <w:tcW w:w="896" w:type="pct"/>
            <w:shd w:val="clear" w:color="auto" w:fill="auto"/>
            <w:noWrap/>
            <w:vAlign w:val="bottom"/>
            <w:hideMark/>
          </w:tcPr>
          <w:p w:rsidR="0061245A" w:rsidRPr="00E62F41" w:rsidRDefault="0061245A" w:rsidP="00714358">
            <w:pPr>
              <w:jc w:val="center"/>
              <w:rPr>
                <w:color w:val="000000"/>
              </w:rPr>
            </w:pPr>
          </w:p>
        </w:tc>
        <w:tc>
          <w:tcPr>
            <w:tcW w:w="434" w:type="pct"/>
            <w:tcBorders>
              <w:bottom w:val="single" w:sz="4" w:space="0" w:color="auto"/>
            </w:tcBorders>
            <w:shd w:val="clear" w:color="auto" w:fill="auto"/>
            <w:noWrap/>
            <w:vAlign w:val="bottom"/>
            <w:hideMark/>
          </w:tcPr>
          <w:p w:rsidR="0061245A" w:rsidRPr="00E62F41" w:rsidRDefault="0061245A" w:rsidP="00714358">
            <w:pPr>
              <w:jc w:val="center"/>
              <w:rPr>
                <w:b/>
                <w:color w:val="000000"/>
              </w:rPr>
            </w:pPr>
            <w:r>
              <w:rPr>
                <w:b/>
                <w:color w:val="000000"/>
              </w:rPr>
              <w:t xml:space="preserve">  </w:t>
            </w:r>
            <w:r w:rsidRPr="00E62F41">
              <w:rPr>
                <w:b/>
                <w:color w:val="000000"/>
              </w:rPr>
              <w:t>N</w:t>
            </w:r>
          </w:p>
        </w:tc>
        <w:tc>
          <w:tcPr>
            <w:tcW w:w="612" w:type="pct"/>
            <w:tcBorders>
              <w:bottom w:val="single" w:sz="4" w:space="0" w:color="auto"/>
            </w:tcBorders>
            <w:shd w:val="clear" w:color="auto" w:fill="auto"/>
            <w:noWrap/>
            <w:vAlign w:val="bottom"/>
            <w:hideMark/>
          </w:tcPr>
          <w:p w:rsidR="0061245A" w:rsidRPr="00E62F41" w:rsidRDefault="0061245A" w:rsidP="00A64C8D">
            <w:pPr>
              <w:jc w:val="center"/>
              <w:rPr>
                <w:b/>
                <w:color w:val="000000"/>
              </w:rPr>
            </w:pPr>
            <w:r w:rsidRPr="00E62F41">
              <w:rPr>
                <w:b/>
                <w:color w:val="000000"/>
              </w:rPr>
              <w:t>Mean</w:t>
            </w:r>
          </w:p>
        </w:tc>
        <w:tc>
          <w:tcPr>
            <w:tcW w:w="612" w:type="pct"/>
            <w:tcBorders>
              <w:bottom w:val="single" w:sz="4" w:space="0" w:color="auto"/>
            </w:tcBorders>
            <w:shd w:val="clear" w:color="auto" w:fill="auto"/>
            <w:noWrap/>
            <w:vAlign w:val="bottom"/>
            <w:hideMark/>
          </w:tcPr>
          <w:p w:rsidR="0061245A" w:rsidRPr="00E62F41" w:rsidRDefault="0061245A" w:rsidP="00714358">
            <w:pPr>
              <w:jc w:val="center"/>
              <w:rPr>
                <w:b/>
                <w:color w:val="000000"/>
              </w:rPr>
            </w:pPr>
            <w:r w:rsidRPr="00E62F41">
              <w:rPr>
                <w:b/>
                <w:color w:val="000000"/>
              </w:rPr>
              <w:t>Median</w:t>
            </w:r>
          </w:p>
        </w:tc>
        <w:tc>
          <w:tcPr>
            <w:tcW w:w="612" w:type="pct"/>
            <w:tcBorders>
              <w:bottom w:val="single" w:sz="4" w:space="0" w:color="auto"/>
              <w:right w:val="single" w:sz="4" w:space="0" w:color="auto"/>
            </w:tcBorders>
            <w:shd w:val="clear" w:color="auto" w:fill="auto"/>
            <w:noWrap/>
            <w:vAlign w:val="bottom"/>
            <w:hideMark/>
          </w:tcPr>
          <w:p w:rsidR="0061245A" w:rsidRPr="00E62F41" w:rsidRDefault="0061245A" w:rsidP="00714358">
            <w:pPr>
              <w:jc w:val="center"/>
              <w:rPr>
                <w:b/>
                <w:color w:val="000000"/>
              </w:rPr>
            </w:pPr>
            <w:proofErr w:type="spellStart"/>
            <w:r>
              <w:rPr>
                <w:b/>
                <w:color w:val="000000"/>
              </w:rPr>
              <w:t>Std</w:t>
            </w:r>
            <w:r w:rsidRPr="00E62F41">
              <w:rPr>
                <w:b/>
                <w:color w:val="000000"/>
              </w:rPr>
              <w:t>Dev</w:t>
            </w:r>
            <w:proofErr w:type="spellEnd"/>
          </w:p>
        </w:tc>
        <w:tc>
          <w:tcPr>
            <w:tcW w:w="612" w:type="pct"/>
            <w:tcBorders>
              <w:left w:val="single" w:sz="4" w:space="0" w:color="auto"/>
              <w:bottom w:val="single" w:sz="4" w:space="0" w:color="auto"/>
            </w:tcBorders>
            <w:shd w:val="clear" w:color="auto" w:fill="auto"/>
            <w:noWrap/>
            <w:vAlign w:val="bottom"/>
            <w:hideMark/>
          </w:tcPr>
          <w:p w:rsidR="0061245A" w:rsidRPr="00E62F41" w:rsidRDefault="0061245A" w:rsidP="00714358">
            <w:pPr>
              <w:jc w:val="center"/>
              <w:rPr>
                <w:b/>
                <w:color w:val="000000"/>
              </w:rPr>
            </w:pPr>
            <w:r w:rsidRPr="00E62F41">
              <w:rPr>
                <w:b/>
                <w:color w:val="000000"/>
              </w:rPr>
              <w:t>Mean</w:t>
            </w:r>
          </w:p>
        </w:tc>
        <w:tc>
          <w:tcPr>
            <w:tcW w:w="612" w:type="pct"/>
            <w:tcBorders>
              <w:bottom w:val="single" w:sz="4" w:space="0" w:color="auto"/>
            </w:tcBorders>
            <w:shd w:val="clear" w:color="auto" w:fill="auto"/>
            <w:noWrap/>
            <w:vAlign w:val="bottom"/>
            <w:hideMark/>
          </w:tcPr>
          <w:p w:rsidR="0061245A" w:rsidRPr="00E62F41" w:rsidRDefault="0061245A" w:rsidP="00714358">
            <w:pPr>
              <w:jc w:val="center"/>
              <w:rPr>
                <w:b/>
                <w:color w:val="000000"/>
              </w:rPr>
            </w:pPr>
            <w:r w:rsidRPr="00E62F41">
              <w:rPr>
                <w:b/>
                <w:color w:val="000000"/>
              </w:rPr>
              <w:t>Median</w:t>
            </w:r>
          </w:p>
        </w:tc>
        <w:tc>
          <w:tcPr>
            <w:tcW w:w="612" w:type="pct"/>
            <w:tcBorders>
              <w:bottom w:val="single" w:sz="4" w:space="0" w:color="auto"/>
            </w:tcBorders>
            <w:shd w:val="clear" w:color="auto" w:fill="auto"/>
            <w:noWrap/>
            <w:vAlign w:val="bottom"/>
            <w:hideMark/>
          </w:tcPr>
          <w:p w:rsidR="0061245A" w:rsidRPr="00E62F41" w:rsidRDefault="0061245A" w:rsidP="00714358">
            <w:pPr>
              <w:jc w:val="center"/>
              <w:rPr>
                <w:b/>
                <w:color w:val="000000"/>
              </w:rPr>
            </w:pPr>
            <w:proofErr w:type="spellStart"/>
            <w:r>
              <w:rPr>
                <w:b/>
                <w:color w:val="000000"/>
              </w:rPr>
              <w:t>Std</w:t>
            </w:r>
            <w:r w:rsidRPr="00E62F41">
              <w:rPr>
                <w:b/>
                <w:color w:val="000000"/>
              </w:rPr>
              <w:t>Dev</w:t>
            </w:r>
            <w:proofErr w:type="spellEnd"/>
          </w:p>
        </w:tc>
      </w:tr>
      <w:tr w:rsidR="0061245A" w:rsidRPr="00B92B23" w:rsidTr="0061245A">
        <w:trPr>
          <w:trHeight w:hRule="exact" w:val="317"/>
          <w:jc w:val="center"/>
        </w:trPr>
        <w:tc>
          <w:tcPr>
            <w:tcW w:w="896" w:type="pct"/>
            <w:tcBorders>
              <w:left w:val="nil"/>
              <w:bottom w:val="nil"/>
              <w:right w:val="nil"/>
            </w:tcBorders>
            <w:shd w:val="clear" w:color="auto" w:fill="auto"/>
            <w:noWrap/>
            <w:vAlign w:val="bottom"/>
            <w:hideMark/>
          </w:tcPr>
          <w:p w:rsidR="0061245A" w:rsidRPr="00E62F41" w:rsidRDefault="0061245A" w:rsidP="00714358">
            <w:pPr>
              <w:rPr>
                <w:color w:val="000000"/>
              </w:rPr>
            </w:pPr>
            <w:r w:rsidRPr="00E62F41">
              <w:rPr>
                <w:color w:val="000000"/>
              </w:rPr>
              <w:t>Size</w:t>
            </w:r>
          </w:p>
        </w:tc>
        <w:tc>
          <w:tcPr>
            <w:tcW w:w="434" w:type="pct"/>
            <w:tcBorders>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5.2926</w:t>
            </w:r>
          </w:p>
        </w:tc>
        <w:tc>
          <w:tcPr>
            <w:tcW w:w="612" w:type="pct"/>
            <w:tcBorders>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5.0091</w:t>
            </w:r>
          </w:p>
        </w:tc>
        <w:tc>
          <w:tcPr>
            <w:tcW w:w="612" w:type="pct"/>
            <w:tcBorders>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2.1958</w:t>
            </w:r>
          </w:p>
        </w:tc>
        <w:tc>
          <w:tcPr>
            <w:tcW w:w="612" w:type="pct"/>
            <w:tcBorders>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5.3507</w:t>
            </w:r>
          </w:p>
        </w:tc>
        <w:tc>
          <w:tcPr>
            <w:tcW w:w="612" w:type="pct"/>
            <w:tcBorders>
              <w:left w:val="nil"/>
              <w:bottom w:val="nil"/>
              <w:right w:val="nil"/>
            </w:tcBorders>
            <w:shd w:val="clear" w:color="auto" w:fill="auto"/>
            <w:noWrap/>
            <w:vAlign w:val="bottom"/>
            <w:hideMark/>
          </w:tcPr>
          <w:p w:rsidR="0061245A" w:rsidRPr="00E62F41" w:rsidRDefault="004A564A" w:rsidP="00714358">
            <w:pPr>
              <w:jc w:val="center"/>
              <w:rPr>
                <w:color w:val="000000"/>
              </w:rPr>
            </w:pPr>
            <w:r>
              <w:t xml:space="preserve"> </w:t>
            </w:r>
            <w:r w:rsidR="0061245A" w:rsidRPr="00E62F41">
              <w:t>5.3063*</w:t>
            </w:r>
          </w:p>
        </w:tc>
        <w:tc>
          <w:tcPr>
            <w:tcW w:w="612" w:type="pct"/>
            <w:tcBorders>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1.5431</w:t>
            </w:r>
          </w:p>
        </w:tc>
      </w:tr>
      <w:tr w:rsidR="0061245A" w:rsidRPr="00B92B23" w:rsidTr="0061245A">
        <w:trPr>
          <w:trHeight w:hRule="exact" w:val="317"/>
          <w:jc w:val="center"/>
        </w:trPr>
        <w:tc>
          <w:tcPr>
            <w:tcW w:w="896" w:type="pct"/>
            <w:tcBorders>
              <w:top w:val="nil"/>
              <w:left w:val="nil"/>
              <w:bottom w:val="nil"/>
              <w:right w:val="nil"/>
            </w:tcBorders>
            <w:shd w:val="clear" w:color="auto" w:fill="auto"/>
            <w:noWrap/>
            <w:vAlign w:val="bottom"/>
            <w:hideMark/>
          </w:tcPr>
          <w:p w:rsidR="0061245A" w:rsidRPr="00E62F41" w:rsidRDefault="0061245A" w:rsidP="00714358">
            <w:pPr>
              <w:rPr>
                <w:color w:val="000000"/>
              </w:rPr>
            </w:pPr>
            <w:proofErr w:type="spellStart"/>
            <w:r>
              <w:rPr>
                <w:color w:val="000000"/>
              </w:rPr>
              <w:t>NI_Assets</w:t>
            </w:r>
            <w:proofErr w:type="spellEnd"/>
          </w:p>
        </w:tc>
        <w:tc>
          <w:tcPr>
            <w:tcW w:w="434" w:type="pct"/>
            <w:tcBorders>
              <w:top w:val="nil"/>
              <w:left w:val="nil"/>
              <w:bottom w:val="nil"/>
              <w:right w:val="nil"/>
            </w:tcBorders>
            <w:shd w:val="clear" w:color="auto" w:fill="auto"/>
            <w:noWrap/>
            <w:vAlign w:val="bottom"/>
            <w:hideMark/>
          </w:tcPr>
          <w:p w:rsidR="0061245A" w:rsidRPr="00E62F41" w:rsidRDefault="0061245A" w:rsidP="00A64C8D">
            <w:pPr>
              <w:jc w:val="center"/>
            </w:pPr>
            <w:r w:rsidRPr="00E62F41">
              <w:t>777</w:t>
            </w:r>
          </w:p>
        </w:tc>
        <w:tc>
          <w:tcPr>
            <w:tcW w:w="612"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0.0237</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0.0348</w:t>
            </w:r>
          </w:p>
        </w:tc>
        <w:tc>
          <w:tcPr>
            <w:tcW w:w="612" w:type="pct"/>
            <w:tcBorders>
              <w:top w:val="nil"/>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0.0963</w:t>
            </w:r>
          </w:p>
        </w:tc>
        <w:tc>
          <w:tcPr>
            <w:tcW w:w="612" w:type="pct"/>
            <w:tcBorders>
              <w:top w:val="nil"/>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0.0269</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0.0399</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0.0984</w:t>
            </w:r>
          </w:p>
        </w:tc>
      </w:tr>
      <w:tr w:rsidR="0061245A" w:rsidRPr="00B92B23" w:rsidTr="0061245A">
        <w:trPr>
          <w:trHeight w:hRule="exact" w:val="317"/>
          <w:jc w:val="center"/>
        </w:trPr>
        <w:tc>
          <w:tcPr>
            <w:tcW w:w="896" w:type="pct"/>
            <w:tcBorders>
              <w:top w:val="nil"/>
              <w:left w:val="nil"/>
              <w:bottom w:val="nil"/>
              <w:right w:val="nil"/>
            </w:tcBorders>
            <w:shd w:val="clear" w:color="auto" w:fill="auto"/>
            <w:noWrap/>
            <w:vAlign w:val="bottom"/>
            <w:hideMark/>
          </w:tcPr>
          <w:p w:rsidR="0061245A" w:rsidRPr="00E62F41" w:rsidRDefault="0061245A" w:rsidP="00714358">
            <w:pPr>
              <w:rPr>
                <w:color w:val="000000"/>
              </w:rPr>
            </w:pPr>
            <w:r w:rsidRPr="00E62F41">
              <w:rPr>
                <w:color w:val="000000"/>
              </w:rPr>
              <w:t>Sales Growth</w:t>
            </w:r>
          </w:p>
        </w:tc>
        <w:tc>
          <w:tcPr>
            <w:tcW w:w="434"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0.1903</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0.1659</w:t>
            </w:r>
          </w:p>
        </w:tc>
        <w:tc>
          <w:tcPr>
            <w:tcW w:w="612" w:type="pct"/>
            <w:tcBorders>
              <w:top w:val="nil"/>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0.3551</w:t>
            </w:r>
          </w:p>
        </w:tc>
        <w:tc>
          <w:tcPr>
            <w:tcW w:w="612" w:type="pct"/>
            <w:tcBorders>
              <w:top w:val="nil"/>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0.2003</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0.1731</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0.3428</w:t>
            </w:r>
          </w:p>
        </w:tc>
      </w:tr>
      <w:tr w:rsidR="0061245A" w:rsidRPr="00B92B23" w:rsidTr="0061245A">
        <w:trPr>
          <w:trHeight w:hRule="exact" w:val="317"/>
          <w:jc w:val="center"/>
        </w:trPr>
        <w:tc>
          <w:tcPr>
            <w:tcW w:w="896" w:type="pct"/>
            <w:tcBorders>
              <w:top w:val="nil"/>
              <w:left w:val="nil"/>
              <w:bottom w:val="nil"/>
              <w:right w:val="nil"/>
            </w:tcBorders>
            <w:shd w:val="clear" w:color="auto" w:fill="auto"/>
            <w:noWrap/>
            <w:vAlign w:val="bottom"/>
            <w:hideMark/>
          </w:tcPr>
          <w:p w:rsidR="0061245A" w:rsidRPr="00E62F41" w:rsidRDefault="0061245A" w:rsidP="00714358">
            <w:pPr>
              <w:rPr>
                <w:color w:val="000000"/>
              </w:rPr>
            </w:pPr>
            <w:r w:rsidRPr="00E62F41">
              <w:rPr>
                <w:color w:val="000000"/>
              </w:rPr>
              <w:t>Leverage</w:t>
            </w:r>
          </w:p>
        </w:tc>
        <w:tc>
          <w:tcPr>
            <w:tcW w:w="434"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0.5998</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0.6110</w:t>
            </w:r>
          </w:p>
        </w:tc>
        <w:tc>
          <w:tcPr>
            <w:tcW w:w="612" w:type="pct"/>
            <w:tcBorders>
              <w:top w:val="nil"/>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0.1994</w:t>
            </w:r>
          </w:p>
        </w:tc>
        <w:tc>
          <w:tcPr>
            <w:tcW w:w="612" w:type="pct"/>
            <w:tcBorders>
              <w:top w:val="nil"/>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0.5966</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0.6133</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0.1805</w:t>
            </w:r>
          </w:p>
        </w:tc>
      </w:tr>
      <w:tr w:rsidR="0061245A" w:rsidRPr="00B92B23" w:rsidTr="0061245A">
        <w:trPr>
          <w:trHeight w:hRule="exact" w:val="317"/>
          <w:jc w:val="center"/>
        </w:trPr>
        <w:tc>
          <w:tcPr>
            <w:tcW w:w="896" w:type="pct"/>
            <w:tcBorders>
              <w:top w:val="nil"/>
              <w:left w:val="nil"/>
              <w:bottom w:val="nil"/>
              <w:right w:val="nil"/>
            </w:tcBorders>
            <w:shd w:val="clear" w:color="auto" w:fill="auto"/>
            <w:noWrap/>
            <w:vAlign w:val="bottom"/>
            <w:hideMark/>
          </w:tcPr>
          <w:p w:rsidR="0061245A" w:rsidRPr="00E62F41" w:rsidRDefault="0061245A" w:rsidP="00714358">
            <w:pPr>
              <w:rPr>
                <w:color w:val="000000"/>
              </w:rPr>
            </w:pPr>
            <w:r w:rsidRPr="00E62F41">
              <w:rPr>
                <w:color w:val="000000"/>
              </w:rPr>
              <w:t>Turn</w:t>
            </w:r>
          </w:p>
        </w:tc>
        <w:tc>
          <w:tcPr>
            <w:tcW w:w="434"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1.1841</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1.1025</w:t>
            </w:r>
          </w:p>
        </w:tc>
        <w:tc>
          <w:tcPr>
            <w:tcW w:w="612" w:type="pct"/>
            <w:tcBorders>
              <w:top w:val="nil"/>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0.6337</w:t>
            </w:r>
          </w:p>
        </w:tc>
        <w:tc>
          <w:tcPr>
            <w:tcW w:w="612" w:type="pct"/>
            <w:tcBorders>
              <w:top w:val="nil"/>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1.2133</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1.1184</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0.6392</w:t>
            </w:r>
          </w:p>
        </w:tc>
      </w:tr>
      <w:tr w:rsidR="0061245A" w:rsidRPr="00B92B23" w:rsidTr="0061245A">
        <w:trPr>
          <w:trHeight w:hRule="exact" w:val="317"/>
          <w:jc w:val="center"/>
        </w:trPr>
        <w:tc>
          <w:tcPr>
            <w:tcW w:w="896" w:type="pct"/>
            <w:tcBorders>
              <w:top w:val="nil"/>
              <w:left w:val="nil"/>
              <w:bottom w:val="nil"/>
              <w:right w:val="nil"/>
            </w:tcBorders>
            <w:shd w:val="clear" w:color="auto" w:fill="auto"/>
            <w:noWrap/>
            <w:vAlign w:val="bottom"/>
            <w:hideMark/>
          </w:tcPr>
          <w:p w:rsidR="0061245A" w:rsidRPr="00E62F41" w:rsidRDefault="0061245A" w:rsidP="00714358">
            <w:pPr>
              <w:rPr>
                <w:color w:val="000000"/>
              </w:rPr>
            </w:pPr>
            <w:r w:rsidRPr="00E62F41">
              <w:rPr>
                <w:color w:val="000000"/>
              </w:rPr>
              <w:t>Auditor</w:t>
            </w:r>
          </w:p>
        </w:tc>
        <w:tc>
          <w:tcPr>
            <w:tcW w:w="434"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bottom w:val="nil"/>
              <w:right w:val="nil"/>
            </w:tcBorders>
            <w:shd w:val="clear" w:color="auto" w:fill="auto"/>
            <w:noWrap/>
            <w:vAlign w:val="bottom"/>
            <w:hideMark/>
          </w:tcPr>
          <w:p w:rsidR="0061245A" w:rsidRPr="00E62F41" w:rsidRDefault="0061245A" w:rsidP="00A64C8D">
            <w:pPr>
              <w:jc w:val="center"/>
              <w:rPr>
                <w:color w:val="000000"/>
              </w:rPr>
            </w:pPr>
            <w:r w:rsidRPr="00E62F41">
              <w:t>0.5740</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1.0000</w:t>
            </w:r>
          </w:p>
        </w:tc>
        <w:tc>
          <w:tcPr>
            <w:tcW w:w="612" w:type="pct"/>
            <w:tcBorders>
              <w:top w:val="nil"/>
              <w:left w:val="nil"/>
              <w:bottom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0.4948</w:t>
            </w:r>
          </w:p>
        </w:tc>
        <w:tc>
          <w:tcPr>
            <w:tcW w:w="612" w:type="pct"/>
            <w:tcBorders>
              <w:top w:val="nil"/>
              <w:left w:val="single" w:sz="4" w:space="0" w:color="auto"/>
              <w:bottom w:val="nil"/>
              <w:right w:val="nil"/>
            </w:tcBorders>
            <w:shd w:val="clear" w:color="auto" w:fill="auto"/>
            <w:noWrap/>
            <w:vAlign w:val="bottom"/>
            <w:hideMark/>
          </w:tcPr>
          <w:p w:rsidR="0061245A" w:rsidRPr="00E62F41" w:rsidRDefault="0061245A" w:rsidP="00714358">
            <w:pPr>
              <w:jc w:val="center"/>
              <w:rPr>
                <w:color w:val="000000"/>
              </w:rPr>
            </w:pPr>
            <w:r w:rsidRPr="00E62F41">
              <w:t>0.5714</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1.0000</w:t>
            </w:r>
          </w:p>
        </w:tc>
        <w:tc>
          <w:tcPr>
            <w:tcW w:w="612" w:type="pct"/>
            <w:tcBorders>
              <w:top w:val="nil"/>
              <w:left w:val="nil"/>
              <w:bottom w:val="nil"/>
              <w:right w:val="nil"/>
            </w:tcBorders>
            <w:shd w:val="clear" w:color="auto" w:fill="auto"/>
            <w:noWrap/>
            <w:vAlign w:val="bottom"/>
            <w:hideMark/>
          </w:tcPr>
          <w:p w:rsidR="0061245A" w:rsidRPr="00E62F41" w:rsidRDefault="0061245A" w:rsidP="00714358">
            <w:pPr>
              <w:jc w:val="center"/>
              <w:rPr>
                <w:color w:val="000000"/>
              </w:rPr>
            </w:pPr>
            <w:r w:rsidRPr="00E62F41">
              <w:t>0.4952</w:t>
            </w:r>
          </w:p>
        </w:tc>
      </w:tr>
      <w:tr w:rsidR="0061245A" w:rsidRPr="00B92B23" w:rsidTr="0061245A">
        <w:trPr>
          <w:trHeight w:hRule="exact" w:val="317"/>
          <w:jc w:val="center"/>
        </w:trPr>
        <w:tc>
          <w:tcPr>
            <w:tcW w:w="896" w:type="pct"/>
            <w:tcBorders>
              <w:top w:val="nil"/>
              <w:left w:val="nil"/>
              <w:right w:val="nil"/>
            </w:tcBorders>
            <w:shd w:val="clear" w:color="auto" w:fill="auto"/>
            <w:noWrap/>
            <w:vAlign w:val="bottom"/>
            <w:hideMark/>
          </w:tcPr>
          <w:p w:rsidR="0061245A" w:rsidRPr="00E62F41" w:rsidRDefault="0061245A" w:rsidP="00714358">
            <w:pPr>
              <w:rPr>
                <w:color w:val="000000"/>
              </w:rPr>
            </w:pPr>
            <w:r w:rsidRPr="00E62F41">
              <w:rPr>
                <w:color w:val="000000"/>
              </w:rPr>
              <w:t>IFRS_USGAAP</w:t>
            </w:r>
          </w:p>
        </w:tc>
        <w:tc>
          <w:tcPr>
            <w:tcW w:w="434" w:type="pct"/>
            <w:tcBorders>
              <w:top w:val="nil"/>
              <w:left w:val="nil"/>
              <w:right w:val="nil"/>
            </w:tcBorders>
            <w:shd w:val="clear" w:color="auto" w:fill="auto"/>
            <w:noWrap/>
            <w:vAlign w:val="bottom"/>
            <w:hideMark/>
          </w:tcPr>
          <w:p w:rsidR="0061245A" w:rsidRPr="00E62F41" w:rsidRDefault="0061245A" w:rsidP="00A64C8D">
            <w:pPr>
              <w:jc w:val="center"/>
            </w:pPr>
            <w:r w:rsidRPr="00E62F41">
              <w:t>777</w:t>
            </w:r>
          </w:p>
        </w:tc>
        <w:tc>
          <w:tcPr>
            <w:tcW w:w="612" w:type="pct"/>
            <w:tcBorders>
              <w:top w:val="nil"/>
              <w:left w:val="nil"/>
              <w:right w:val="nil"/>
            </w:tcBorders>
            <w:shd w:val="clear" w:color="auto" w:fill="auto"/>
            <w:noWrap/>
            <w:vAlign w:val="bottom"/>
            <w:hideMark/>
          </w:tcPr>
          <w:p w:rsidR="0061245A" w:rsidRPr="00E62F41" w:rsidRDefault="0061245A" w:rsidP="00A64C8D">
            <w:pPr>
              <w:jc w:val="center"/>
              <w:rPr>
                <w:color w:val="000000"/>
              </w:rPr>
            </w:pPr>
            <w:r w:rsidRPr="00E62F41">
              <w:t>0.4994</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0.0000</w:t>
            </w:r>
          </w:p>
        </w:tc>
        <w:tc>
          <w:tcPr>
            <w:tcW w:w="612" w:type="pct"/>
            <w:tcBorders>
              <w:top w:val="nil"/>
              <w:left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0.5003</w:t>
            </w:r>
          </w:p>
        </w:tc>
        <w:tc>
          <w:tcPr>
            <w:tcW w:w="612" w:type="pct"/>
            <w:tcBorders>
              <w:top w:val="nil"/>
              <w:left w:val="single" w:sz="4" w:space="0" w:color="auto"/>
              <w:right w:val="nil"/>
            </w:tcBorders>
            <w:shd w:val="clear" w:color="auto" w:fill="auto"/>
            <w:noWrap/>
            <w:vAlign w:val="bottom"/>
            <w:hideMark/>
          </w:tcPr>
          <w:p w:rsidR="0061245A" w:rsidRPr="00E62F41" w:rsidRDefault="0061245A" w:rsidP="00714358">
            <w:pPr>
              <w:jc w:val="center"/>
              <w:rPr>
                <w:color w:val="000000"/>
              </w:rPr>
            </w:pPr>
            <w:r w:rsidRPr="00E62F41">
              <w:t>0.5006</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1.0000</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0.5003</w:t>
            </w:r>
          </w:p>
        </w:tc>
      </w:tr>
      <w:tr w:rsidR="0061245A" w:rsidRPr="00B92B23" w:rsidTr="0061245A">
        <w:trPr>
          <w:trHeight w:hRule="exact" w:val="317"/>
          <w:jc w:val="center"/>
        </w:trPr>
        <w:tc>
          <w:tcPr>
            <w:tcW w:w="896" w:type="pct"/>
            <w:tcBorders>
              <w:top w:val="nil"/>
              <w:left w:val="nil"/>
              <w:right w:val="nil"/>
            </w:tcBorders>
            <w:shd w:val="clear" w:color="auto" w:fill="auto"/>
            <w:noWrap/>
            <w:vAlign w:val="bottom"/>
            <w:hideMark/>
          </w:tcPr>
          <w:p w:rsidR="0061245A" w:rsidRPr="00E62F41" w:rsidRDefault="0061245A" w:rsidP="00714358">
            <w:pPr>
              <w:rPr>
                <w:color w:val="000000"/>
              </w:rPr>
            </w:pPr>
            <w:r w:rsidRPr="00E62F41">
              <w:rPr>
                <w:color w:val="000000"/>
              </w:rPr>
              <w:t>USCROSSLISTED</w:t>
            </w:r>
          </w:p>
        </w:tc>
        <w:tc>
          <w:tcPr>
            <w:tcW w:w="434" w:type="pct"/>
            <w:tcBorders>
              <w:top w:val="nil"/>
              <w:left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right w:val="nil"/>
            </w:tcBorders>
            <w:shd w:val="clear" w:color="auto" w:fill="auto"/>
            <w:noWrap/>
            <w:vAlign w:val="bottom"/>
            <w:hideMark/>
          </w:tcPr>
          <w:p w:rsidR="0061245A" w:rsidRPr="00E62F41" w:rsidRDefault="0061245A" w:rsidP="00A64C8D">
            <w:pPr>
              <w:jc w:val="center"/>
              <w:rPr>
                <w:color w:val="000000"/>
              </w:rPr>
            </w:pPr>
            <w:r w:rsidRPr="00E62F41">
              <w:t>0.0026</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0.0000</w:t>
            </w:r>
          </w:p>
        </w:tc>
        <w:tc>
          <w:tcPr>
            <w:tcW w:w="612" w:type="pct"/>
            <w:tcBorders>
              <w:top w:val="nil"/>
              <w:left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0.0507</w:t>
            </w:r>
          </w:p>
        </w:tc>
        <w:tc>
          <w:tcPr>
            <w:tcW w:w="612" w:type="pct"/>
            <w:tcBorders>
              <w:top w:val="nil"/>
              <w:left w:val="single" w:sz="4" w:space="0" w:color="auto"/>
              <w:right w:val="nil"/>
            </w:tcBorders>
            <w:shd w:val="clear" w:color="auto" w:fill="auto"/>
            <w:noWrap/>
            <w:vAlign w:val="bottom"/>
            <w:hideMark/>
          </w:tcPr>
          <w:p w:rsidR="0061245A" w:rsidRPr="00E62F41" w:rsidRDefault="0061245A" w:rsidP="00714358">
            <w:pPr>
              <w:jc w:val="center"/>
              <w:rPr>
                <w:color w:val="000000"/>
              </w:rPr>
            </w:pPr>
            <w:r w:rsidRPr="00E62F41">
              <w:t>0.0077</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0.0000</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0.0876</w:t>
            </w:r>
          </w:p>
        </w:tc>
      </w:tr>
      <w:tr w:rsidR="0061245A" w:rsidRPr="00B92B23" w:rsidTr="0061245A">
        <w:trPr>
          <w:trHeight w:hRule="exact" w:val="317"/>
          <w:jc w:val="center"/>
        </w:trPr>
        <w:tc>
          <w:tcPr>
            <w:tcW w:w="896" w:type="pct"/>
            <w:tcBorders>
              <w:top w:val="nil"/>
              <w:left w:val="nil"/>
              <w:right w:val="nil"/>
            </w:tcBorders>
            <w:shd w:val="clear" w:color="auto" w:fill="auto"/>
            <w:noWrap/>
            <w:vAlign w:val="bottom"/>
            <w:hideMark/>
          </w:tcPr>
          <w:p w:rsidR="0061245A" w:rsidRPr="00E62F41" w:rsidRDefault="0061245A" w:rsidP="00714358">
            <w:pPr>
              <w:rPr>
                <w:color w:val="000000"/>
              </w:rPr>
            </w:pPr>
            <w:r w:rsidRPr="00E62F41">
              <w:rPr>
                <w:color w:val="000000"/>
              </w:rPr>
              <w:t xml:space="preserve"># </w:t>
            </w:r>
            <w:proofErr w:type="spellStart"/>
            <w:r w:rsidRPr="00E62F41">
              <w:rPr>
                <w:color w:val="000000"/>
              </w:rPr>
              <w:t>FExchanges</w:t>
            </w:r>
            <w:proofErr w:type="spellEnd"/>
          </w:p>
        </w:tc>
        <w:tc>
          <w:tcPr>
            <w:tcW w:w="434" w:type="pct"/>
            <w:tcBorders>
              <w:top w:val="nil"/>
              <w:left w:val="nil"/>
              <w:right w:val="nil"/>
            </w:tcBorders>
            <w:shd w:val="clear" w:color="auto" w:fill="auto"/>
            <w:noWrap/>
            <w:vAlign w:val="bottom"/>
            <w:hideMark/>
          </w:tcPr>
          <w:p w:rsidR="0061245A" w:rsidRPr="00E62F41" w:rsidRDefault="0061245A" w:rsidP="00A64C8D">
            <w:pPr>
              <w:jc w:val="center"/>
              <w:rPr>
                <w:color w:val="000000"/>
              </w:rPr>
            </w:pPr>
            <w:r w:rsidRPr="00E62F41">
              <w:t>777</w:t>
            </w:r>
          </w:p>
        </w:tc>
        <w:tc>
          <w:tcPr>
            <w:tcW w:w="612" w:type="pct"/>
            <w:tcBorders>
              <w:top w:val="nil"/>
              <w:left w:val="nil"/>
              <w:right w:val="nil"/>
            </w:tcBorders>
            <w:shd w:val="clear" w:color="auto" w:fill="auto"/>
            <w:noWrap/>
            <w:vAlign w:val="bottom"/>
            <w:hideMark/>
          </w:tcPr>
          <w:p w:rsidR="0061245A" w:rsidRPr="00E62F41" w:rsidRDefault="0061245A" w:rsidP="00A64C8D">
            <w:pPr>
              <w:jc w:val="center"/>
              <w:rPr>
                <w:color w:val="000000"/>
              </w:rPr>
            </w:pPr>
            <w:r w:rsidRPr="00E62F41">
              <w:t>0.1429</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0.0000</w:t>
            </w:r>
          </w:p>
        </w:tc>
        <w:tc>
          <w:tcPr>
            <w:tcW w:w="612" w:type="pct"/>
            <w:tcBorders>
              <w:top w:val="nil"/>
              <w:left w:val="nil"/>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0.4963</w:t>
            </w:r>
          </w:p>
        </w:tc>
        <w:tc>
          <w:tcPr>
            <w:tcW w:w="612" w:type="pct"/>
            <w:tcBorders>
              <w:top w:val="nil"/>
              <w:left w:val="single" w:sz="4" w:space="0" w:color="auto"/>
              <w:right w:val="nil"/>
            </w:tcBorders>
            <w:shd w:val="clear" w:color="auto" w:fill="auto"/>
            <w:noWrap/>
            <w:vAlign w:val="bottom"/>
            <w:hideMark/>
          </w:tcPr>
          <w:p w:rsidR="0061245A" w:rsidRPr="00E62F41" w:rsidRDefault="0061245A" w:rsidP="00714358">
            <w:pPr>
              <w:jc w:val="center"/>
              <w:rPr>
                <w:color w:val="000000"/>
              </w:rPr>
            </w:pPr>
            <w:r w:rsidRPr="00E62F41">
              <w:t>0.1828</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0.0000</w:t>
            </w:r>
          </w:p>
        </w:tc>
        <w:tc>
          <w:tcPr>
            <w:tcW w:w="612" w:type="pct"/>
            <w:tcBorders>
              <w:top w:val="nil"/>
              <w:left w:val="nil"/>
              <w:right w:val="nil"/>
            </w:tcBorders>
            <w:shd w:val="clear" w:color="auto" w:fill="auto"/>
            <w:noWrap/>
            <w:vAlign w:val="bottom"/>
            <w:hideMark/>
          </w:tcPr>
          <w:p w:rsidR="0061245A" w:rsidRPr="00E62F41" w:rsidRDefault="0061245A" w:rsidP="00714358">
            <w:pPr>
              <w:jc w:val="center"/>
              <w:rPr>
                <w:color w:val="000000"/>
              </w:rPr>
            </w:pPr>
            <w:r w:rsidRPr="00E62F41">
              <w:t>0.6639</w:t>
            </w:r>
          </w:p>
        </w:tc>
      </w:tr>
      <w:tr w:rsidR="0061245A" w:rsidRPr="00511ED1" w:rsidTr="0061245A">
        <w:trPr>
          <w:trHeight w:hRule="exact" w:val="317"/>
          <w:jc w:val="center"/>
        </w:trPr>
        <w:tc>
          <w:tcPr>
            <w:tcW w:w="896" w:type="pct"/>
            <w:tcBorders>
              <w:top w:val="nil"/>
              <w:left w:val="nil"/>
              <w:bottom w:val="single" w:sz="12" w:space="0" w:color="auto"/>
              <w:right w:val="nil"/>
            </w:tcBorders>
            <w:shd w:val="clear" w:color="auto" w:fill="auto"/>
            <w:noWrap/>
            <w:vAlign w:val="bottom"/>
            <w:hideMark/>
          </w:tcPr>
          <w:p w:rsidR="0061245A" w:rsidRPr="00E62F41" w:rsidRDefault="0061245A" w:rsidP="00714358">
            <w:pPr>
              <w:rPr>
                <w:color w:val="000000"/>
              </w:rPr>
            </w:pPr>
            <w:proofErr w:type="spellStart"/>
            <w:r w:rsidRPr="00E62F41">
              <w:rPr>
                <w:color w:val="000000"/>
              </w:rPr>
              <w:t>res_std</w:t>
            </w:r>
            <w:proofErr w:type="spellEnd"/>
          </w:p>
        </w:tc>
        <w:tc>
          <w:tcPr>
            <w:tcW w:w="434" w:type="pct"/>
            <w:tcBorders>
              <w:top w:val="nil"/>
              <w:left w:val="nil"/>
              <w:bottom w:val="single" w:sz="12" w:space="0" w:color="auto"/>
              <w:right w:val="nil"/>
            </w:tcBorders>
            <w:shd w:val="clear" w:color="auto" w:fill="auto"/>
            <w:noWrap/>
            <w:vAlign w:val="bottom"/>
            <w:hideMark/>
          </w:tcPr>
          <w:p w:rsidR="0061245A" w:rsidRPr="00E62F41" w:rsidRDefault="0061245A" w:rsidP="00A64C8D">
            <w:pPr>
              <w:jc w:val="center"/>
            </w:pPr>
            <w:r w:rsidRPr="00E62F41">
              <w:t>777</w:t>
            </w:r>
          </w:p>
        </w:tc>
        <w:tc>
          <w:tcPr>
            <w:tcW w:w="612" w:type="pct"/>
            <w:tcBorders>
              <w:top w:val="nil"/>
              <w:left w:val="nil"/>
              <w:bottom w:val="single" w:sz="12" w:space="0" w:color="auto"/>
              <w:right w:val="nil"/>
            </w:tcBorders>
            <w:shd w:val="clear" w:color="auto" w:fill="auto"/>
            <w:noWrap/>
            <w:vAlign w:val="bottom"/>
            <w:hideMark/>
          </w:tcPr>
          <w:p w:rsidR="0061245A" w:rsidRPr="00E62F41" w:rsidRDefault="0061245A" w:rsidP="00A64C8D">
            <w:pPr>
              <w:jc w:val="center"/>
            </w:pPr>
            <w:r w:rsidRPr="00E62F41">
              <w:t>0.0205</w:t>
            </w:r>
          </w:p>
        </w:tc>
        <w:tc>
          <w:tcPr>
            <w:tcW w:w="612" w:type="pct"/>
            <w:tcBorders>
              <w:top w:val="nil"/>
              <w:left w:val="nil"/>
              <w:bottom w:val="single" w:sz="12" w:space="0" w:color="auto"/>
              <w:right w:val="nil"/>
            </w:tcBorders>
            <w:shd w:val="clear" w:color="auto" w:fill="auto"/>
            <w:noWrap/>
            <w:vAlign w:val="bottom"/>
            <w:hideMark/>
          </w:tcPr>
          <w:p w:rsidR="0061245A" w:rsidRPr="00E62F41" w:rsidRDefault="0061245A" w:rsidP="00714358">
            <w:pPr>
              <w:jc w:val="center"/>
            </w:pPr>
            <w:r w:rsidRPr="00E62F41">
              <w:t>0.0173</w:t>
            </w:r>
          </w:p>
        </w:tc>
        <w:tc>
          <w:tcPr>
            <w:tcW w:w="612" w:type="pct"/>
            <w:tcBorders>
              <w:top w:val="nil"/>
              <w:left w:val="nil"/>
              <w:bottom w:val="single" w:sz="12" w:space="0" w:color="auto"/>
              <w:right w:val="single" w:sz="4" w:space="0" w:color="auto"/>
            </w:tcBorders>
            <w:shd w:val="clear" w:color="auto" w:fill="auto"/>
            <w:noWrap/>
            <w:vAlign w:val="bottom"/>
            <w:hideMark/>
          </w:tcPr>
          <w:p w:rsidR="0061245A" w:rsidRPr="00E62F41" w:rsidRDefault="0061245A" w:rsidP="00714358">
            <w:pPr>
              <w:jc w:val="center"/>
              <w:rPr>
                <w:color w:val="000000"/>
              </w:rPr>
            </w:pPr>
            <w:r w:rsidRPr="00E62F41">
              <w:t>0.0127</w:t>
            </w:r>
          </w:p>
        </w:tc>
        <w:tc>
          <w:tcPr>
            <w:tcW w:w="612" w:type="pct"/>
            <w:tcBorders>
              <w:top w:val="nil"/>
              <w:left w:val="single" w:sz="4" w:space="0" w:color="auto"/>
              <w:bottom w:val="single" w:sz="12" w:space="0" w:color="auto"/>
              <w:right w:val="nil"/>
            </w:tcBorders>
            <w:shd w:val="clear" w:color="auto" w:fill="auto"/>
            <w:noWrap/>
            <w:vAlign w:val="bottom"/>
            <w:hideMark/>
          </w:tcPr>
          <w:p w:rsidR="0061245A" w:rsidRPr="00E62F41" w:rsidRDefault="0061245A" w:rsidP="00714358">
            <w:pPr>
              <w:jc w:val="center"/>
            </w:pPr>
            <w:r w:rsidRPr="00E62F41">
              <w:t>0.0211</w:t>
            </w:r>
          </w:p>
        </w:tc>
        <w:tc>
          <w:tcPr>
            <w:tcW w:w="612" w:type="pct"/>
            <w:tcBorders>
              <w:top w:val="nil"/>
              <w:left w:val="nil"/>
              <w:bottom w:val="single" w:sz="12" w:space="0" w:color="auto"/>
              <w:right w:val="nil"/>
            </w:tcBorders>
            <w:shd w:val="clear" w:color="auto" w:fill="auto"/>
            <w:noWrap/>
            <w:vAlign w:val="bottom"/>
            <w:hideMark/>
          </w:tcPr>
          <w:p w:rsidR="0061245A" w:rsidRPr="00E62F41" w:rsidRDefault="0061245A" w:rsidP="00714358">
            <w:pPr>
              <w:jc w:val="center"/>
            </w:pPr>
            <w:r>
              <w:t xml:space="preserve">   </w:t>
            </w:r>
            <w:r w:rsidRPr="00E62F41">
              <w:t>0.0180**</w:t>
            </w:r>
          </w:p>
        </w:tc>
        <w:tc>
          <w:tcPr>
            <w:tcW w:w="612" w:type="pct"/>
            <w:tcBorders>
              <w:top w:val="nil"/>
              <w:left w:val="nil"/>
              <w:bottom w:val="single" w:sz="12" w:space="0" w:color="auto"/>
              <w:right w:val="nil"/>
            </w:tcBorders>
            <w:shd w:val="clear" w:color="auto" w:fill="auto"/>
            <w:noWrap/>
            <w:vAlign w:val="bottom"/>
            <w:hideMark/>
          </w:tcPr>
          <w:p w:rsidR="0061245A" w:rsidRPr="00E62F41" w:rsidRDefault="0061245A" w:rsidP="00714358">
            <w:pPr>
              <w:jc w:val="center"/>
            </w:pPr>
            <w:r w:rsidRPr="00E62F41">
              <w:t>0.0106</w:t>
            </w:r>
          </w:p>
        </w:tc>
      </w:tr>
    </w:tbl>
    <w:p w:rsidR="00A44F5C" w:rsidRDefault="00A44F5C" w:rsidP="00A44F5C">
      <w:pPr>
        <w:rPr>
          <w:color w:val="000000"/>
        </w:rPr>
      </w:pPr>
      <w:r>
        <w:rPr>
          <w:color w:val="000000"/>
        </w:rPr>
        <w:t>(</w:t>
      </w:r>
      <w:proofErr w:type="gramStart"/>
      <w:r>
        <w:rPr>
          <w:color w:val="000000"/>
        </w:rPr>
        <w:t>continues</w:t>
      </w:r>
      <w:proofErr w:type="gramEnd"/>
      <w:r w:rsidRPr="002F4C90">
        <w:rPr>
          <w:color w:val="000000"/>
        </w:rPr>
        <w:t xml:space="preserve"> on next page)</w:t>
      </w:r>
    </w:p>
    <w:p w:rsidR="00A44F5C" w:rsidRDefault="00A44F5C" w:rsidP="00A44F5C">
      <w:pPr>
        <w:rPr>
          <w:b/>
          <w:color w:val="000000"/>
        </w:rPr>
      </w:pPr>
      <w:r>
        <w:rPr>
          <w:b/>
          <w:color w:val="000000"/>
        </w:rPr>
        <w:lastRenderedPageBreak/>
        <w:t xml:space="preserve">    </w:t>
      </w:r>
      <w:r w:rsidRPr="00A40E27">
        <w:rPr>
          <w:b/>
          <w:color w:val="000000"/>
        </w:rPr>
        <w:t xml:space="preserve">Table </w:t>
      </w:r>
      <w:r w:rsidR="00DD7EE8">
        <w:rPr>
          <w:b/>
          <w:color w:val="000000"/>
        </w:rPr>
        <w:t>9 Panel B</w:t>
      </w:r>
      <w:r>
        <w:rPr>
          <w:b/>
          <w:color w:val="000000"/>
        </w:rPr>
        <w:t xml:space="preserve"> (continued)</w:t>
      </w:r>
    </w:p>
    <w:p w:rsidR="00A44F5C" w:rsidRDefault="00A44F5C" w:rsidP="00A44F5C">
      <w:pPr>
        <w:jc w:val="center"/>
        <w:rPr>
          <w:b/>
          <w:color w:val="000000"/>
        </w:rPr>
      </w:pPr>
    </w:p>
    <w:p w:rsidR="00A44F5C" w:rsidRPr="001C53C2" w:rsidRDefault="00A44F5C" w:rsidP="00A44F5C">
      <w:pPr>
        <w:ind w:left="180" w:right="86"/>
        <w:jc w:val="both"/>
        <w:rPr>
          <w:szCs w:val="20"/>
        </w:rPr>
      </w:pPr>
      <w:r w:rsidRPr="001C53C2">
        <w:t xml:space="preserve">The </w:t>
      </w:r>
      <w:r w:rsidR="00DD7EE8">
        <w:t xml:space="preserve">panel </w:t>
      </w:r>
      <w:r w:rsidRPr="001C53C2">
        <w:t xml:space="preserve">provides descriptive statistics for the variables included in the analysis. </w:t>
      </w:r>
      <w:r w:rsidRPr="001C53C2">
        <w:rPr>
          <w:szCs w:val="20"/>
        </w:rPr>
        <w:t xml:space="preserve">It shows the values for the mean, median, and standard deviation for a number of characteristics of the firm-years included in our propensity-score matched sample, split by segment and calculated separately for the pre- and post-merger period. The table also shows a comparison between the means and medians of the firm characteristics based on a t-test and a </w:t>
      </w:r>
      <w:r w:rsidR="00A22498" w:rsidRPr="001C53C2">
        <w:rPr>
          <w:szCs w:val="20"/>
        </w:rPr>
        <w:t>Wil</w:t>
      </w:r>
      <w:r w:rsidR="00A22498">
        <w:rPr>
          <w:szCs w:val="20"/>
        </w:rPr>
        <w:t>c</w:t>
      </w:r>
      <w:r w:rsidR="00A22498" w:rsidRPr="001C53C2">
        <w:rPr>
          <w:szCs w:val="20"/>
        </w:rPr>
        <w:t xml:space="preserve">oxon </w:t>
      </w:r>
      <w:r w:rsidRPr="001C53C2">
        <w:rPr>
          <w:szCs w:val="20"/>
        </w:rPr>
        <w:t xml:space="preserve">rank-sum test, respectively. *** indicates statistical </w:t>
      </w:r>
      <w:r w:rsidR="007A45CC" w:rsidRPr="001C53C2">
        <w:rPr>
          <w:szCs w:val="20"/>
        </w:rPr>
        <w:t>significan</w:t>
      </w:r>
      <w:r w:rsidR="007A45CC">
        <w:rPr>
          <w:szCs w:val="20"/>
        </w:rPr>
        <w:t>ce</w:t>
      </w:r>
      <w:r w:rsidR="007A45CC" w:rsidRPr="001C53C2">
        <w:rPr>
          <w:szCs w:val="20"/>
        </w:rPr>
        <w:t xml:space="preserve"> </w:t>
      </w:r>
      <w:r w:rsidRPr="001C53C2">
        <w:rPr>
          <w:szCs w:val="20"/>
        </w:rPr>
        <w:t xml:space="preserve">at the 0.01 level, ** indicates statistical significance at the 0.05 level, and * indicates statistical </w:t>
      </w:r>
      <w:r w:rsidR="007A45CC" w:rsidRPr="001C53C2">
        <w:rPr>
          <w:szCs w:val="20"/>
        </w:rPr>
        <w:t>significan</w:t>
      </w:r>
      <w:r w:rsidR="007A45CC">
        <w:rPr>
          <w:szCs w:val="20"/>
        </w:rPr>
        <w:t>ce</w:t>
      </w:r>
      <w:r w:rsidR="007A45CC" w:rsidRPr="001C53C2">
        <w:rPr>
          <w:szCs w:val="20"/>
        </w:rPr>
        <w:t xml:space="preserve"> </w:t>
      </w:r>
      <w:r w:rsidRPr="001C53C2">
        <w:rPr>
          <w:szCs w:val="20"/>
        </w:rPr>
        <w:t>at the 0.10 level. All variables are as defined on Table 2 of the paper.</w:t>
      </w:r>
    </w:p>
    <w:p w:rsidR="00A44F5C" w:rsidRPr="002F4C90" w:rsidRDefault="00A44F5C" w:rsidP="00A44F5C">
      <w:pPr>
        <w:jc w:val="center"/>
        <w:rPr>
          <w:b/>
          <w:color w:val="000000"/>
        </w:rPr>
        <w:sectPr w:rsidR="00A44F5C" w:rsidRPr="002F4C90" w:rsidSect="00A267D3">
          <w:pgSz w:w="15840" w:h="12240" w:orient="landscape"/>
          <w:pgMar w:top="1440" w:right="1440" w:bottom="1440" w:left="1440" w:header="720" w:footer="720" w:gutter="0"/>
          <w:cols w:space="720"/>
          <w:docGrid w:linePitch="360"/>
        </w:sectPr>
      </w:pPr>
    </w:p>
    <w:p w:rsidR="00A44F5C" w:rsidRDefault="00DD7EE8" w:rsidP="00A44F5C">
      <w:pPr>
        <w:jc w:val="center"/>
        <w:rPr>
          <w:b/>
          <w:color w:val="000000"/>
        </w:rPr>
      </w:pPr>
      <w:r>
        <w:rPr>
          <w:b/>
          <w:color w:val="000000"/>
        </w:rPr>
        <w:lastRenderedPageBreak/>
        <w:t xml:space="preserve">Panel C: </w:t>
      </w:r>
      <w:r w:rsidR="00A44F5C" w:rsidRPr="00A40E27">
        <w:rPr>
          <w:b/>
          <w:color w:val="000000"/>
        </w:rPr>
        <w:t xml:space="preserve">PSM </w:t>
      </w:r>
      <w:r w:rsidR="00277AA5">
        <w:rPr>
          <w:b/>
          <w:color w:val="000000"/>
        </w:rPr>
        <w:t>l</w:t>
      </w:r>
      <w:r w:rsidR="00A44F5C" w:rsidRPr="00A40E27">
        <w:rPr>
          <w:b/>
          <w:color w:val="000000"/>
        </w:rPr>
        <w:t xml:space="preserve">iquidity </w:t>
      </w:r>
      <w:r w:rsidR="00277AA5">
        <w:rPr>
          <w:b/>
          <w:color w:val="000000"/>
        </w:rPr>
        <w:t>r</w:t>
      </w:r>
      <w:r w:rsidR="00A44F5C" w:rsidRPr="00A40E27">
        <w:rPr>
          <w:b/>
          <w:color w:val="000000"/>
        </w:rPr>
        <w:t xml:space="preserve">egression </w:t>
      </w:r>
      <w:r w:rsidR="00277AA5">
        <w:rPr>
          <w:b/>
          <w:color w:val="000000"/>
        </w:rPr>
        <w:t>r</w:t>
      </w:r>
      <w:r w:rsidR="00A44F5C" w:rsidRPr="00A40E27">
        <w:rPr>
          <w:b/>
          <w:color w:val="000000"/>
        </w:rPr>
        <w:t>esults</w:t>
      </w:r>
    </w:p>
    <w:tbl>
      <w:tblPr>
        <w:tblStyle w:val="TableGrid"/>
        <w:tblW w:w="5000" w:type="pct"/>
        <w:jc w:val="center"/>
        <w:tblLook w:val="04A0" w:firstRow="1" w:lastRow="0" w:firstColumn="1" w:lastColumn="0" w:noHBand="0" w:noVBand="1"/>
      </w:tblPr>
      <w:tblGrid>
        <w:gridCol w:w="2293"/>
        <w:gridCol w:w="1822"/>
        <w:gridCol w:w="1821"/>
        <w:gridCol w:w="1821"/>
        <w:gridCol w:w="1819"/>
      </w:tblGrid>
      <w:tr w:rsidR="00A44F5C" w:rsidRPr="004D44AA" w:rsidTr="00A267D3">
        <w:trPr>
          <w:jc w:val="center"/>
        </w:trPr>
        <w:tc>
          <w:tcPr>
            <w:tcW w:w="1197" w:type="pct"/>
            <w:tcBorders>
              <w:top w:val="single" w:sz="12" w:space="0" w:color="auto"/>
              <w:left w:val="nil"/>
              <w:bottom w:val="nil"/>
              <w:right w:val="nil"/>
            </w:tcBorders>
          </w:tcPr>
          <w:p w:rsidR="00A44F5C" w:rsidRPr="004D44AA" w:rsidRDefault="00A44F5C" w:rsidP="00714358">
            <w:pPr>
              <w:pStyle w:val="PlainText"/>
              <w:rPr>
                <w:rFonts w:ascii="Times New Roman" w:hAnsi="Times New Roman"/>
                <w:sz w:val="22"/>
                <w:szCs w:val="20"/>
              </w:rPr>
            </w:pPr>
          </w:p>
        </w:tc>
        <w:tc>
          <w:tcPr>
            <w:tcW w:w="951" w:type="pct"/>
            <w:tcBorders>
              <w:top w:val="single" w:sz="12" w:space="0" w:color="auto"/>
              <w:left w:val="nil"/>
              <w:bottom w:val="nil"/>
              <w:right w:val="nil"/>
            </w:tcBorders>
          </w:tcPr>
          <w:p w:rsidR="00A44F5C" w:rsidRPr="004D44AA" w:rsidRDefault="00A44F5C" w:rsidP="00714358">
            <w:pPr>
              <w:pStyle w:val="PlainText"/>
              <w:jc w:val="center"/>
              <w:rPr>
                <w:rFonts w:ascii="Times New Roman" w:hAnsi="Times New Roman"/>
                <w:sz w:val="22"/>
                <w:szCs w:val="20"/>
              </w:rPr>
            </w:pPr>
            <w:r w:rsidRPr="004D44AA">
              <w:rPr>
                <w:rFonts w:ascii="Times New Roman" w:hAnsi="Times New Roman"/>
                <w:sz w:val="22"/>
                <w:szCs w:val="20"/>
              </w:rPr>
              <w:t>(1)</w:t>
            </w:r>
          </w:p>
        </w:tc>
        <w:tc>
          <w:tcPr>
            <w:tcW w:w="951" w:type="pct"/>
            <w:tcBorders>
              <w:top w:val="single" w:sz="12" w:space="0" w:color="auto"/>
              <w:left w:val="nil"/>
              <w:bottom w:val="nil"/>
              <w:right w:val="nil"/>
            </w:tcBorders>
          </w:tcPr>
          <w:p w:rsidR="00A44F5C" w:rsidRPr="004D44AA" w:rsidRDefault="00A44F5C" w:rsidP="00714358">
            <w:pPr>
              <w:pStyle w:val="PlainText"/>
              <w:jc w:val="center"/>
              <w:rPr>
                <w:rFonts w:ascii="Times New Roman" w:hAnsi="Times New Roman"/>
                <w:sz w:val="22"/>
                <w:szCs w:val="20"/>
              </w:rPr>
            </w:pPr>
            <w:r w:rsidRPr="004D44AA">
              <w:rPr>
                <w:rFonts w:ascii="Times New Roman" w:hAnsi="Times New Roman"/>
                <w:sz w:val="22"/>
                <w:szCs w:val="20"/>
              </w:rPr>
              <w:t>(2)</w:t>
            </w:r>
          </w:p>
        </w:tc>
        <w:tc>
          <w:tcPr>
            <w:tcW w:w="951" w:type="pct"/>
            <w:tcBorders>
              <w:top w:val="single" w:sz="12" w:space="0" w:color="auto"/>
              <w:left w:val="nil"/>
              <w:bottom w:val="nil"/>
              <w:right w:val="nil"/>
            </w:tcBorders>
          </w:tcPr>
          <w:p w:rsidR="00A44F5C" w:rsidRPr="004D44AA" w:rsidRDefault="00A44F5C" w:rsidP="00714358">
            <w:pPr>
              <w:pStyle w:val="PlainText"/>
              <w:jc w:val="center"/>
              <w:rPr>
                <w:rFonts w:ascii="Times New Roman" w:hAnsi="Times New Roman"/>
                <w:sz w:val="22"/>
                <w:szCs w:val="20"/>
              </w:rPr>
            </w:pPr>
            <w:r w:rsidRPr="004D44AA">
              <w:rPr>
                <w:rFonts w:ascii="Times New Roman" w:hAnsi="Times New Roman"/>
                <w:sz w:val="22"/>
                <w:szCs w:val="20"/>
              </w:rPr>
              <w:t>(3)</w:t>
            </w:r>
          </w:p>
        </w:tc>
        <w:tc>
          <w:tcPr>
            <w:tcW w:w="951" w:type="pct"/>
            <w:tcBorders>
              <w:top w:val="single" w:sz="12" w:space="0" w:color="auto"/>
              <w:left w:val="nil"/>
              <w:bottom w:val="nil"/>
              <w:right w:val="nil"/>
            </w:tcBorders>
          </w:tcPr>
          <w:p w:rsidR="00A44F5C" w:rsidRPr="004D44AA" w:rsidRDefault="00A44F5C" w:rsidP="00714358">
            <w:pPr>
              <w:pStyle w:val="PlainText"/>
              <w:jc w:val="center"/>
              <w:rPr>
                <w:rFonts w:ascii="Times New Roman" w:hAnsi="Times New Roman"/>
                <w:sz w:val="22"/>
                <w:szCs w:val="20"/>
              </w:rPr>
            </w:pPr>
            <w:r w:rsidRPr="004D44AA">
              <w:rPr>
                <w:rFonts w:ascii="Times New Roman" w:hAnsi="Times New Roman"/>
                <w:sz w:val="22"/>
                <w:szCs w:val="20"/>
              </w:rPr>
              <w:t>(4)</w:t>
            </w:r>
          </w:p>
        </w:tc>
      </w:tr>
      <w:tr w:rsidR="00593AC0" w:rsidRPr="004D44AA" w:rsidTr="00A267D3">
        <w:trPr>
          <w:jc w:val="center"/>
        </w:trPr>
        <w:tc>
          <w:tcPr>
            <w:tcW w:w="1197" w:type="pct"/>
            <w:tcBorders>
              <w:top w:val="nil"/>
              <w:left w:val="nil"/>
              <w:bottom w:val="single" w:sz="12" w:space="0" w:color="auto"/>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proofErr w:type="spellStart"/>
            <w:r w:rsidRPr="004D44AA">
              <w:rPr>
                <w:rFonts w:ascii="Times New Roman" w:hAnsi="Times New Roman"/>
                <w:sz w:val="22"/>
                <w:szCs w:val="20"/>
              </w:rPr>
              <w:t>per</w:t>
            </w:r>
            <w:r>
              <w:rPr>
                <w:rFonts w:ascii="Times New Roman" w:hAnsi="Times New Roman"/>
                <w:sz w:val="22"/>
                <w:szCs w:val="20"/>
              </w:rPr>
              <w:t>c</w:t>
            </w:r>
            <w:r w:rsidRPr="004D44AA">
              <w:rPr>
                <w:rFonts w:ascii="Times New Roman" w:hAnsi="Times New Roman"/>
                <w:sz w:val="22"/>
                <w:szCs w:val="20"/>
              </w:rPr>
              <w:t>_zeroret</w:t>
            </w:r>
            <w:proofErr w:type="spellEnd"/>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proofErr w:type="spellStart"/>
            <w:r w:rsidRPr="004D44AA">
              <w:rPr>
                <w:rFonts w:ascii="Times New Roman" w:hAnsi="Times New Roman"/>
                <w:sz w:val="22"/>
                <w:szCs w:val="20"/>
              </w:rPr>
              <w:t>per</w:t>
            </w:r>
            <w:r>
              <w:rPr>
                <w:rFonts w:ascii="Times New Roman" w:hAnsi="Times New Roman"/>
                <w:sz w:val="22"/>
                <w:szCs w:val="20"/>
              </w:rPr>
              <w:t>c</w:t>
            </w:r>
            <w:r w:rsidRPr="004D44AA">
              <w:rPr>
                <w:rFonts w:ascii="Times New Roman" w:hAnsi="Times New Roman"/>
                <w:sz w:val="22"/>
                <w:szCs w:val="20"/>
              </w:rPr>
              <w:t>_zeroret</w:t>
            </w:r>
            <w:proofErr w:type="spellEnd"/>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proofErr w:type="spellStart"/>
            <w:r w:rsidRPr="004D44AA">
              <w:rPr>
                <w:rFonts w:ascii="Times New Roman" w:hAnsi="Times New Roman"/>
                <w:sz w:val="22"/>
                <w:szCs w:val="20"/>
              </w:rPr>
              <w:t>log_mn_bidask</w:t>
            </w:r>
            <w:proofErr w:type="spellEnd"/>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proofErr w:type="spellStart"/>
            <w:r w:rsidRPr="004D44AA">
              <w:rPr>
                <w:rFonts w:ascii="Times New Roman" w:hAnsi="Times New Roman"/>
                <w:sz w:val="22"/>
                <w:szCs w:val="20"/>
              </w:rPr>
              <w:t>log_mn_bidask</w:t>
            </w:r>
            <w:proofErr w:type="spellEnd"/>
          </w:p>
        </w:tc>
      </w:tr>
      <w:tr w:rsidR="00593AC0" w:rsidRPr="004D44AA" w:rsidTr="00A267D3">
        <w:trPr>
          <w:jc w:val="center"/>
        </w:trPr>
        <w:tc>
          <w:tcPr>
            <w:tcW w:w="1197" w:type="pct"/>
            <w:tcBorders>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Post-Merger</w:t>
            </w:r>
          </w:p>
        </w:tc>
        <w:tc>
          <w:tcPr>
            <w:tcW w:w="951" w:type="pct"/>
            <w:tcBorders>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-0.086*</w:t>
            </w:r>
          </w:p>
        </w:tc>
        <w:tc>
          <w:tcPr>
            <w:tcW w:w="951" w:type="pct"/>
            <w:tcBorders>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-0.020</w:t>
            </w:r>
          </w:p>
        </w:tc>
        <w:tc>
          <w:tcPr>
            <w:tcW w:w="951" w:type="pct"/>
            <w:tcBorders>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0.532***</w:t>
            </w:r>
          </w:p>
        </w:tc>
        <w:tc>
          <w:tcPr>
            <w:tcW w:w="951" w:type="pct"/>
            <w:tcBorders>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0.342***</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(1.77)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(0.44)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(3.38)</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(2.71)</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Segment</w:t>
            </w:r>
          </w:p>
        </w:tc>
        <w:tc>
          <w:tcPr>
            <w:tcW w:w="951" w:type="pct"/>
            <w:tcBorders>
              <w:top w:val="nil"/>
              <w:left w:val="nil"/>
              <w:bottom w:val="nil"/>
              <w:right w:val="nil"/>
            </w:tcBorders>
          </w:tcPr>
          <w:p w:rsidR="00593AC0" w:rsidRPr="004D44AA" w:rsidRDefault="004A564A" w:rsidP="00583379">
            <w:pPr>
              <w:pStyle w:val="PlainText"/>
              <w:jc w:val="center"/>
              <w:rPr>
                <w:rFonts w:ascii="Times New Roman" w:hAnsi="Times New Roman"/>
                <w:sz w:val="22"/>
                <w:szCs w:val="20"/>
              </w:rPr>
            </w:pPr>
            <w:r>
              <w:rPr>
                <w:rFonts w:ascii="Times New Roman" w:hAnsi="Times New Roman"/>
                <w:sz w:val="22"/>
                <w:szCs w:val="20"/>
              </w:rPr>
              <w:t xml:space="preserve">    </w:t>
            </w:r>
            <w:r w:rsidR="00593AC0" w:rsidRPr="004D44AA">
              <w:rPr>
                <w:rFonts w:ascii="Times New Roman" w:hAnsi="Times New Roman"/>
                <w:sz w:val="22"/>
                <w:szCs w:val="20"/>
              </w:rPr>
              <w:t>-0.131***</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-0.118***</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-0.134</w:t>
            </w:r>
          </w:p>
        </w:tc>
        <w:tc>
          <w:tcPr>
            <w:tcW w:w="951" w:type="pct"/>
            <w:tcBorders>
              <w:top w:val="nil"/>
              <w:left w:val="nil"/>
              <w:bottom w:val="nil"/>
              <w:right w:val="nil"/>
            </w:tcBorders>
          </w:tcPr>
          <w:p w:rsidR="00593AC0" w:rsidRPr="004D44AA" w:rsidRDefault="004A564A" w:rsidP="00583379">
            <w:pPr>
              <w:pStyle w:val="PlainText"/>
              <w:jc w:val="center"/>
              <w:rPr>
                <w:rFonts w:ascii="Times New Roman" w:hAnsi="Times New Roman"/>
                <w:sz w:val="22"/>
                <w:szCs w:val="20"/>
              </w:rPr>
            </w:pPr>
            <w:r>
              <w:rPr>
                <w:rFonts w:ascii="Times New Roman" w:hAnsi="Times New Roman"/>
                <w:sz w:val="22"/>
                <w:szCs w:val="20"/>
              </w:rPr>
              <w:t xml:space="preserve">   </w:t>
            </w:r>
            <w:r w:rsidR="00593AC0" w:rsidRPr="004D44AA">
              <w:rPr>
                <w:rFonts w:ascii="Times New Roman" w:hAnsi="Times New Roman"/>
                <w:sz w:val="22"/>
                <w:szCs w:val="20"/>
              </w:rPr>
              <w:t>-0.151***</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(5.00)</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(7.19)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(1.49)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(2.61)</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Post-Merger*Segment</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-0.042*</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-0.045**</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-0.154*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-0.112*</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(1.76)</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(2.54)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(1.67)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(1.75)</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Leverage</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0.081</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(0.47)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(0.75)</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roofErr w:type="spellStart"/>
            <w:r>
              <w:rPr>
                <w:rFonts w:ascii="Times New Roman" w:hAnsi="Times New Roman"/>
                <w:sz w:val="22"/>
                <w:szCs w:val="20"/>
              </w:rPr>
              <w:t>NI_Assets</w:t>
            </w:r>
            <w:proofErr w:type="spellEnd"/>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-0.047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0.438**</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(0.79)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(2.31)</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w:t>
            </w:r>
            <w:proofErr w:type="spellStart"/>
            <w:r>
              <w:rPr>
                <w:rFonts w:ascii="Times New Roman" w:hAnsi="Times New Roman"/>
                <w:sz w:val="22"/>
                <w:szCs w:val="20"/>
              </w:rPr>
              <w:t>FExchanges</w:t>
            </w:r>
            <w:proofErr w:type="spellEnd"/>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0.012</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-0.016</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(1.47)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(0.67)</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Sales Growth</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0.007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0.046</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(0.57)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(0.81)</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Size</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-0.088***</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-0.442***</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(24.49)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(36.44)</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Auditor</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-0.013</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-0.043</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(0.84)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(0.93)</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IFRS_USGAAP</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0.011</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(0.62)</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(0.12)</w:t>
            </w:r>
          </w:p>
        </w:tc>
      </w:tr>
      <w:tr w:rsidR="00593AC0" w:rsidRPr="004D44AA" w:rsidTr="00A267D3">
        <w:trPr>
          <w:trHeight w:hRule="exact" w:val="144"/>
          <w:jc w:val="center"/>
        </w:trPr>
        <w:tc>
          <w:tcPr>
            <w:tcW w:w="1197" w:type="pct"/>
            <w:tcBorders>
              <w:top w:val="nil"/>
              <w:left w:val="nil"/>
              <w:bottom w:val="nil"/>
              <w:right w:val="nil"/>
            </w:tcBorders>
          </w:tcPr>
          <w:p w:rsidR="00593AC0"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Pr>
                <w:rFonts w:ascii="Times New Roman" w:hAnsi="Times New Roman"/>
                <w:sz w:val="22"/>
                <w:szCs w:val="20"/>
              </w:rPr>
              <w:t>USCROSSLISTED</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0.081**</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-0.061</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(2.07)</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(0.23)</w:t>
            </w:r>
          </w:p>
        </w:tc>
      </w:tr>
      <w:tr w:rsidR="00593AC0" w:rsidRPr="004D44AA" w:rsidTr="00A267D3">
        <w:trPr>
          <w:trHeight w:hRule="exact" w:val="144"/>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roofErr w:type="spellStart"/>
            <w:r w:rsidRPr="004D44AA">
              <w:rPr>
                <w:rFonts w:ascii="Times New Roman" w:hAnsi="Times New Roman"/>
                <w:sz w:val="22"/>
                <w:szCs w:val="20"/>
              </w:rPr>
              <w:t>ret_std</w:t>
            </w:r>
            <w:proofErr w:type="spellEnd"/>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4A564A" w:rsidP="00583379">
            <w:pPr>
              <w:pStyle w:val="PlainText"/>
              <w:jc w:val="center"/>
              <w:rPr>
                <w:rFonts w:ascii="Times New Roman" w:hAnsi="Times New Roman"/>
                <w:sz w:val="22"/>
                <w:szCs w:val="20"/>
              </w:rPr>
            </w:pPr>
            <w:r>
              <w:rPr>
                <w:rFonts w:ascii="Times New Roman" w:hAnsi="Times New Roman"/>
                <w:sz w:val="22"/>
                <w:szCs w:val="20"/>
              </w:rPr>
              <w:t xml:space="preserve">     </w:t>
            </w:r>
            <w:r w:rsidR="00593AC0" w:rsidRPr="004D44AA">
              <w:rPr>
                <w:rFonts w:ascii="Times New Roman" w:hAnsi="Times New Roman"/>
                <w:sz w:val="22"/>
                <w:szCs w:val="20"/>
              </w:rPr>
              <w:t>-7.970***</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2.382</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(10.36)</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(1.28)</w:t>
            </w:r>
          </w:p>
        </w:tc>
      </w:tr>
      <w:tr w:rsidR="00593AC0" w:rsidRPr="004D44AA" w:rsidTr="00A267D3">
        <w:trPr>
          <w:trHeight w:hRule="exact" w:val="144"/>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sidRPr="004D44AA">
              <w:rPr>
                <w:rFonts w:ascii="Times New Roman" w:hAnsi="Times New Roman"/>
                <w:sz w:val="22"/>
                <w:szCs w:val="20"/>
              </w:rPr>
              <w:t>Constant</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0.289***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0.954***</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-4.278***</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Pr>
                <w:rFonts w:ascii="Times New Roman" w:hAnsi="Times New Roman"/>
                <w:sz w:val="22"/>
                <w:szCs w:val="20"/>
              </w:rPr>
              <w:t xml:space="preserve">     </w:t>
            </w:r>
            <w:r w:rsidRPr="004D44AA">
              <w:rPr>
                <w:rFonts w:ascii="Times New Roman" w:hAnsi="Times New Roman"/>
                <w:sz w:val="22"/>
                <w:szCs w:val="20"/>
              </w:rPr>
              <w:t>-1.562***</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(4.90)</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(16.79)</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(24.08)</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(12.06)</w:t>
            </w: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p>
        </w:tc>
      </w:tr>
      <w:tr w:rsidR="00593AC0" w:rsidRPr="004D44AA" w:rsidTr="00A267D3">
        <w:trPr>
          <w:jc w:val="center"/>
        </w:trPr>
        <w:tc>
          <w:tcPr>
            <w:tcW w:w="1197" w:type="pct"/>
            <w:tcBorders>
              <w:top w:val="nil"/>
              <w:left w:val="nil"/>
              <w:bottom w:val="nil"/>
              <w:right w:val="nil"/>
            </w:tcBorders>
          </w:tcPr>
          <w:p w:rsidR="00593AC0" w:rsidRPr="004D44AA" w:rsidRDefault="00593AC0" w:rsidP="00714358">
            <w:pPr>
              <w:pStyle w:val="PlainText"/>
              <w:rPr>
                <w:rFonts w:ascii="Times New Roman" w:hAnsi="Times New Roman"/>
                <w:sz w:val="22"/>
                <w:szCs w:val="20"/>
              </w:rPr>
            </w:pPr>
            <w:r w:rsidRPr="004D44AA">
              <w:rPr>
                <w:rFonts w:ascii="Times New Roman" w:hAnsi="Times New Roman"/>
                <w:sz w:val="22"/>
                <w:szCs w:val="20"/>
              </w:rPr>
              <w:t>Observations</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w:t>
            </w:r>
            <w:r>
              <w:rPr>
                <w:rFonts w:ascii="Times New Roman" w:hAnsi="Times New Roman"/>
                <w:sz w:val="22"/>
                <w:szCs w:val="20"/>
              </w:rPr>
              <w:t>,</w:t>
            </w:r>
            <w:r w:rsidRPr="004D44AA">
              <w:rPr>
                <w:rFonts w:ascii="Times New Roman" w:hAnsi="Times New Roman"/>
                <w:sz w:val="22"/>
                <w:szCs w:val="20"/>
              </w:rPr>
              <w:t>446</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w:t>
            </w:r>
            <w:r>
              <w:rPr>
                <w:rFonts w:ascii="Times New Roman" w:hAnsi="Times New Roman"/>
                <w:sz w:val="22"/>
                <w:szCs w:val="20"/>
              </w:rPr>
              <w:t>,</w:t>
            </w:r>
            <w:r w:rsidRPr="004D44AA">
              <w:rPr>
                <w:rFonts w:ascii="Times New Roman" w:hAnsi="Times New Roman"/>
                <w:sz w:val="22"/>
                <w:szCs w:val="20"/>
              </w:rPr>
              <w:t>446</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w:t>
            </w:r>
            <w:r>
              <w:rPr>
                <w:rFonts w:ascii="Times New Roman" w:hAnsi="Times New Roman"/>
                <w:sz w:val="22"/>
                <w:szCs w:val="20"/>
              </w:rPr>
              <w:t>,</w:t>
            </w:r>
            <w:r w:rsidRPr="004D44AA">
              <w:rPr>
                <w:rFonts w:ascii="Times New Roman" w:hAnsi="Times New Roman"/>
                <w:sz w:val="22"/>
                <w:szCs w:val="20"/>
              </w:rPr>
              <w:t>446</w:t>
            </w:r>
          </w:p>
        </w:tc>
        <w:tc>
          <w:tcPr>
            <w:tcW w:w="951" w:type="pct"/>
            <w:tcBorders>
              <w:top w:val="nil"/>
              <w:left w:val="nil"/>
              <w:bottom w:val="nil"/>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2</w:t>
            </w:r>
            <w:r>
              <w:rPr>
                <w:rFonts w:ascii="Times New Roman" w:hAnsi="Times New Roman"/>
                <w:sz w:val="22"/>
                <w:szCs w:val="20"/>
              </w:rPr>
              <w:t>,</w:t>
            </w:r>
            <w:r w:rsidRPr="004D44AA">
              <w:rPr>
                <w:rFonts w:ascii="Times New Roman" w:hAnsi="Times New Roman"/>
                <w:sz w:val="22"/>
                <w:szCs w:val="20"/>
              </w:rPr>
              <w:t>446</w:t>
            </w:r>
          </w:p>
        </w:tc>
      </w:tr>
      <w:tr w:rsidR="00593AC0" w:rsidRPr="004D44AA" w:rsidTr="00A267D3">
        <w:trPr>
          <w:jc w:val="center"/>
        </w:trPr>
        <w:tc>
          <w:tcPr>
            <w:tcW w:w="1197" w:type="pct"/>
            <w:tcBorders>
              <w:top w:val="nil"/>
              <w:left w:val="nil"/>
              <w:bottom w:val="single" w:sz="12" w:space="0" w:color="auto"/>
              <w:right w:val="nil"/>
            </w:tcBorders>
          </w:tcPr>
          <w:p w:rsidR="00593AC0" w:rsidRPr="004D44AA" w:rsidRDefault="00593AC0" w:rsidP="00714358">
            <w:pPr>
              <w:pStyle w:val="PlainText"/>
              <w:rPr>
                <w:rFonts w:ascii="Times New Roman" w:hAnsi="Times New Roman"/>
                <w:sz w:val="22"/>
                <w:szCs w:val="20"/>
              </w:rPr>
            </w:pPr>
            <w:r w:rsidRPr="004D44AA">
              <w:rPr>
                <w:rFonts w:ascii="Times New Roman" w:hAnsi="Times New Roman"/>
                <w:sz w:val="22"/>
                <w:szCs w:val="20"/>
              </w:rPr>
              <w:t>Adjusted R-squared</w:t>
            </w:r>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0.18</w:t>
            </w:r>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0.59</w:t>
            </w:r>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0.14</w:t>
            </w:r>
          </w:p>
        </w:tc>
        <w:tc>
          <w:tcPr>
            <w:tcW w:w="951" w:type="pct"/>
            <w:tcBorders>
              <w:top w:val="nil"/>
              <w:left w:val="nil"/>
              <w:bottom w:val="single" w:sz="12" w:space="0" w:color="auto"/>
              <w:right w:val="nil"/>
            </w:tcBorders>
          </w:tcPr>
          <w:p w:rsidR="00593AC0" w:rsidRPr="004D44AA" w:rsidRDefault="00593AC0" w:rsidP="00583379">
            <w:pPr>
              <w:pStyle w:val="PlainText"/>
              <w:jc w:val="center"/>
              <w:rPr>
                <w:rFonts w:ascii="Times New Roman" w:hAnsi="Times New Roman"/>
                <w:sz w:val="22"/>
                <w:szCs w:val="20"/>
              </w:rPr>
            </w:pPr>
            <w:r w:rsidRPr="004D44AA">
              <w:rPr>
                <w:rFonts w:ascii="Times New Roman" w:hAnsi="Times New Roman"/>
                <w:sz w:val="22"/>
                <w:szCs w:val="20"/>
              </w:rPr>
              <w:t>0.71</w:t>
            </w:r>
          </w:p>
        </w:tc>
      </w:tr>
    </w:tbl>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jc w:val="both"/>
        <w:rPr>
          <w:sz w:val="20"/>
          <w:szCs w:val="20"/>
        </w:rPr>
      </w:pPr>
    </w:p>
    <w:p w:rsidR="00A44F5C" w:rsidRDefault="00A44F5C" w:rsidP="00A44F5C">
      <w:pPr>
        <w:rPr>
          <w:szCs w:val="20"/>
        </w:rPr>
        <w:sectPr w:rsidR="00A44F5C" w:rsidSect="00F6411C">
          <w:pgSz w:w="12240" w:h="15840"/>
          <w:pgMar w:top="1440" w:right="1440" w:bottom="1440" w:left="1440" w:header="720" w:footer="720" w:gutter="0"/>
          <w:cols w:space="720"/>
          <w:docGrid w:linePitch="360"/>
        </w:sectPr>
      </w:pPr>
      <w:r w:rsidRPr="00BF0EC5">
        <w:rPr>
          <w:szCs w:val="20"/>
        </w:rPr>
        <w:t>(</w:t>
      </w:r>
      <w:proofErr w:type="gramStart"/>
      <w:r w:rsidRPr="00BF0EC5">
        <w:rPr>
          <w:szCs w:val="20"/>
        </w:rPr>
        <w:t>continues</w:t>
      </w:r>
      <w:proofErr w:type="gramEnd"/>
      <w:r w:rsidRPr="00BF0EC5">
        <w:rPr>
          <w:szCs w:val="20"/>
        </w:rPr>
        <w:t xml:space="preserve"> on next page)</w:t>
      </w:r>
    </w:p>
    <w:p w:rsidR="00A44F5C" w:rsidRDefault="00A44F5C" w:rsidP="00A44F5C">
      <w:pPr>
        <w:rPr>
          <w:b/>
          <w:color w:val="000000"/>
        </w:rPr>
      </w:pPr>
      <w:r>
        <w:rPr>
          <w:b/>
          <w:color w:val="000000"/>
        </w:rPr>
        <w:lastRenderedPageBreak/>
        <w:t xml:space="preserve">Table </w:t>
      </w:r>
      <w:r w:rsidR="00DD7EE8">
        <w:rPr>
          <w:b/>
          <w:color w:val="000000"/>
        </w:rPr>
        <w:t>9 Panel C</w:t>
      </w:r>
      <w:r>
        <w:rPr>
          <w:b/>
          <w:color w:val="000000"/>
        </w:rPr>
        <w:t xml:space="preserve"> (continued)</w:t>
      </w:r>
    </w:p>
    <w:p w:rsidR="00A44F5C" w:rsidRDefault="00A44F5C" w:rsidP="00A44F5C">
      <w:pPr>
        <w:jc w:val="both"/>
        <w:rPr>
          <w:sz w:val="20"/>
          <w:szCs w:val="20"/>
        </w:rPr>
      </w:pPr>
    </w:p>
    <w:p w:rsidR="00A44F5C" w:rsidRPr="00B51D6D" w:rsidRDefault="00DD7EE8" w:rsidP="00A44F5C">
      <w:pPr>
        <w:jc w:val="both"/>
        <w:rPr>
          <w:sz w:val="20"/>
          <w:szCs w:val="20"/>
        </w:rPr>
      </w:pPr>
      <w:r>
        <w:rPr>
          <w:sz w:val="20"/>
          <w:szCs w:val="20"/>
        </w:rPr>
        <w:t xml:space="preserve">The panel </w:t>
      </w:r>
      <w:r w:rsidR="00A44F5C" w:rsidRPr="00B51D6D">
        <w:rPr>
          <w:sz w:val="20"/>
          <w:szCs w:val="20"/>
        </w:rPr>
        <w:t xml:space="preserve">includes a comparison of liquidity for segment vs. non-segment firms from the pre- to the post-merger period for our propensity-score matched sample. It shows the results from OLS regressions: </w:t>
      </w:r>
    </w:p>
    <w:p w:rsidR="00A44F5C" w:rsidRPr="00B51D6D" w:rsidRDefault="00A44F5C" w:rsidP="00A44F5C">
      <w:pPr>
        <w:jc w:val="both"/>
        <w:rPr>
          <w:sz w:val="20"/>
          <w:szCs w:val="20"/>
        </w:rPr>
      </w:pPr>
    </w:p>
    <w:p w:rsidR="00A44F5C" w:rsidRPr="00B51D6D" w:rsidRDefault="00A44F5C" w:rsidP="00A44F5C">
      <w:pPr>
        <w:rPr>
          <w:iCs/>
          <w:sz w:val="20"/>
          <w:szCs w:val="20"/>
        </w:rPr>
      </w:pPr>
      <w:proofErr w:type="spellStart"/>
      <w:r w:rsidRPr="00B51D6D">
        <w:rPr>
          <w:sz w:val="20"/>
          <w:szCs w:val="20"/>
        </w:rPr>
        <w:t>perc_zeroret</w:t>
      </w:r>
      <w:proofErr w:type="spellEnd"/>
      <w:r w:rsidRPr="00B51D6D">
        <w:rPr>
          <w:sz w:val="20"/>
          <w:szCs w:val="20"/>
        </w:rPr>
        <w:t xml:space="preserve"> (</w:t>
      </w:r>
      <w:proofErr w:type="spellStart"/>
      <w:r w:rsidRPr="00B51D6D">
        <w:rPr>
          <w:sz w:val="20"/>
          <w:szCs w:val="20"/>
        </w:rPr>
        <w:t>mn_bidask</w:t>
      </w:r>
      <w:proofErr w:type="spellEnd"/>
      <w:r w:rsidRPr="00B51D6D">
        <w:rPr>
          <w:sz w:val="20"/>
          <w:szCs w:val="20"/>
        </w:rPr>
        <w:t>) = β</w:t>
      </w:r>
      <w:r w:rsidRPr="00B51D6D">
        <w:rPr>
          <w:sz w:val="20"/>
          <w:szCs w:val="20"/>
          <w:vertAlign w:val="subscript"/>
        </w:rPr>
        <w:t>0</w:t>
      </w:r>
      <w:r w:rsidRPr="00B51D6D">
        <w:rPr>
          <w:sz w:val="20"/>
          <w:szCs w:val="20"/>
        </w:rPr>
        <w:t xml:space="preserve"> +β</w:t>
      </w:r>
      <w:r w:rsidRPr="00B51D6D">
        <w:rPr>
          <w:sz w:val="20"/>
          <w:szCs w:val="20"/>
          <w:vertAlign w:val="subscript"/>
        </w:rPr>
        <w:t>1</w:t>
      </w:r>
      <w:r w:rsidRPr="00B51D6D">
        <w:rPr>
          <w:sz w:val="20"/>
          <w:szCs w:val="20"/>
        </w:rPr>
        <w:t>*</w:t>
      </w:r>
      <w:r w:rsidRPr="00277AA5">
        <w:rPr>
          <w:iCs/>
          <w:sz w:val="20"/>
          <w:szCs w:val="20"/>
        </w:rPr>
        <w:t>Segment</w:t>
      </w:r>
      <w:r w:rsidRPr="00B51D6D">
        <w:rPr>
          <w:i/>
          <w:iCs/>
          <w:sz w:val="20"/>
          <w:szCs w:val="20"/>
        </w:rPr>
        <w:t xml:space="preserve"> </w:t>
      </w:r>
      <w:r w:rsidRPr="00B51D6D">
        <w:rPr>
          <w:sz w:val="20"/>
          <w:szCs w:val="20"/>
        </w:rPr>
        <w:t>+ β</w:t>
      </w:r>
      <w:r w:rsidRPr="00B51D6D">
        <w:rPr>
          <w:sz w:val="20"/>
          <w:szCs w:val="20"/>
          <w:vertAlign w:val="subscript"/>
        </w:rPr>
        <w:t>2</w:t>
      </w:r>
      <w:r w:rsidRPr="00B51D6D">
        <w:rPr>
          <w:sz w:val="20"/>
          <w:szCs w:val="20"/>
        </w:rPr>
        <w:t>*</w:t>
      </w:r>
      <w:r w:rsidRPr="00277AA5">
        <w:rPr>
          <w:iCs/>
          <w:sz w:val="20"/>
          <w:szCs w:val="20"/>
        </w:rPr>
        <w:t xml:space="preserve">Post-Merger </w:t>
      </w:r>
      <w:r w:rsidRPr="00B51D6D">
        <w:rPr>
          <w:sz w:val="20"/>
          <w:szCs w:val="20"/>
        </w:rPr>
        <w:t>+ β</w:t>
      </w:r>
      <w:r w:rsidRPr="00B51D6D">
        <w:rPr>
          <w:sz w:val="20"/>
          <w:szCs w:val="20"/>
          <w:vertAlign w:val="subscript"/>
        </w:rPr>
        <w:t>3</w:t>
      </w:r>
      <w:r w:rsidRPr="00B51D6D">
        <w:rPr>
          <w:sz w:val="20"/>
          <w:szCs w:val="20"/>
        </w:rPr>
        <w:t>*</w:t>
      </w:r>
      <w:r w:rsidRPr="00277AA5">
        <w:rPr>
          <w:iCs/>
          <w:sz w:val="20"/>
          <w:szCs w:val="20"/>
        </w:rPr>
        <w:t>Post-Merger</w:t>
      </w:r>
      <w:r w:rsidRPr="00277AA5">
        <w:rPr>
          <w:sz w:val="20"/>
          <w:szCs w:val="20"/>
        </w:rPr>
        <w:t>*</w:t>
      </w:r>
      <w:r w:rsidRPr="00277AA5">
        <w:rPr>
          <w:iCs/>
          <w:sz w:val="20"/>
          <w:szCs w:val="20"/>
        </w:rPr>
        <w:t xml:space="preserve">Segment </w:t>
      </w:r>
      <w:r w:rsidRPr="00B51D6D">
        <w:rPr>
          <w:iCs/>
          <w:sz w:val="20"/>
          <w:szCs w:val="20"/>
        </w:rPr>
        <w:t>(for models 1 and 3 in the panel);</w:t>
      </w:r>
    </w:p>
    <w:p w:rsidR="00A44F5C" w:rsidRPr="00B51D6D" w:rsidRDefault="00A44F5C" w:rsidP="00A44F5C">
      <w:pPr>
        <w:jc w:val="both"/>
        <w:rPr>
          <w:iCs/>
          <w:sz w:val="20"/>
          <w:szCs w:val="20"/>
        </w:rPr>
      </w:pPr>
    </w:p>
    <w:p w:rsidR="00A44F5C" w:rsidRPr="00B51D6D" w:rsidRDefault="00A44F5C" w:rsidP="00A44F5C">
      <w:pPr>
        <w:rPr>
          <w:sz w:val="20"/>
          <w:szCs w:val="20"/>
        </w:rPr>
      </w:pPr>
      <w:r w:rsidRPr="00B51D6D">
        <w:rPr>
          <w:iCs/>
          <w:sz w:val="20"/>
          <w:szCs w:val="20"/>
        </w:rPr>
        <w:t xml:space="preserve"> </w:t>
      </w:r>
      <w:proofErr w:type="spellStart"/>
      <w:r w:rsidRPr="00B51D6D">
        <w:rPr>
          <w:sz w:val="20"/>
          <w:szCs w:val="20"/>
        </w:rPr>
        <w:t>perc_zeroret</w:t>
      </w:r>
      <w:proofErr w:type="spellEnd"/>
      <w:r w:rsidRPr="00B51D6D">
        <w:rPr>
          <w:sz w:val="20"/>
          <w:szCs w:val="20"/>
        </w:rPr>
        <w:t xml:space="preserve"> (</w:t>
      </w:r>
      <w:proofErr w:type="spellStart"/>
      <w:r w:rsidRPr="00B51D6D">
        <w:rPr>
          <w:sz w:val="20"/>
          <w:szCs w:val="20"/>
        </w:rPr>
        <w:t>mn_bidask</w:t>
      </w:r>
      <w:proofErr w:type="spellEnd"/>
      <w:proofErr w:type="gramStart"/>
      <w:r w:rsidRPr="00B51D6D">
        <w:rPr>
          <w:sz w:val="20"/>
          <w:szCs w:val="20"/>
        </w:rPr>
        <w:t>)  =</w:t>
      </w:r>
      <w:proofErr w:type="gramEnd"/>
      <w:r w:rsidRPr="00B51D6D">
        <w:rPr>
          <w:sz w:val="20"/>
          <w:szCs w:val="20"/>
        </w:rPr>
        <w:t xml:space="preserve"> β</w:t>
      </w:r>
      <w:r w:rsidRPr="00B51D6D">
        <w:rPr>
          <w:sz w:val="20"/>
          <w:szCs w:val="20"/>
          <w:vertAlign w:val="subscript"/>
        </w:rPr>
        <w:t>0</w:t>
      </w:r>
      <w:r w:rsidRPr="00B51D6D">
        <w:rPr>
          <w:sz w:val="20"/>
          <w:szCs w:val="20"/>
        </w:rPr>
        <w:t xml:space="preserve"> +β</w:t>
      </w:r>
      <w:r w:rsidRPr="00B51D6D">
        <w:rPr>
          <w:sz w:val="20"/>
          <w:szCs w:val="20"/>
          <w:vertAlign w:val="subscript"/>
        </w:rPr>
        <w:t>1</w:t>
      </w:r>
      <w:r w:rsidRPr="00B51D6D">
        <w:rPr>
          <w:sz w:val="20"/>
          <w:szCs w:val="20"/>
        </w:rPr>
        <w:t>*</w:t>
      </w:r>
      <w:r w:rsidRPr="00277AA5">
        <w:rPr>
          <w:iCs/>
          <w:sz w:val="20"/>
          <w:szCs w:val="20"/>
        </w:rPr>
        <w:t xml:space="preserve">Segment </w:t>
      </w:r>
      <w:r w:rsidRPr="00B51D6D">
        <w:rPr>
          <w:sz w:val="20"/>
          <w:szCs w:val="20"/>
        </w:rPr>
        <w:t>+ β</w:t>
      </w:r>
      <w:r w:rsidRPr="00B51D6D">
        <w:rPr>
          <w:sz w:val="20"/>
          <w:szCs w:val="20"/>
          <w:vertAlign w:val="subscript"/>
        </w:rPr>
        <w:t>2</w:t>
      </w:r>
      <w:r w:rsidRPr="00B51D6D">
        <w:rPr>
          <w:sz w:val="20"/>
          <w:szCs w:val="20"/>
        </w:rPr>
        <w:t>*</w:t>
      </w:r>
      <w:r w:rsidRPr="00277AA5">
        <w:rPr>
          <w:iCs/>
          <w:sz w:val="20"/>
          <w:szCs w:val="20"/>
        </w:rPr>
        <w:t xml:space="preserve">Post-Merger </w:t>
      </w:r>
      <w:r w:rsidRPr="00277AA5">
        <w:rPr>
          <w:sz w:val="20"/>
          <w:szCs w:val="20"/>
        </w:rPr>
        <w:t>+</w:t>
      </w:r>
      <w:r w:rsidRPr="00B51D6D">
        <w:rPr>
          <w:sz w:val="20"/>
          <w:szCs w:val="20"/>
        </w:rPr>
        <w:t xml:space="preserve"> β</w:t>
      </w:r>
      <w:r w:rsidRPr="00B51D6D">
        <w:rPr>
          <w:sz w:val="20"/>
          <w:szCs w:val="20"/>
          <w:vertAlign w:val="subscript"/>
        </w:rPr>
        <w:t>3</w:t>
      </w:r>
      <w:r w:rsidRPr="00B51D6D">
        <w:rPr>
          <w:sz w:val="20"/>
          <w:szCs w:val="20"/>
        </w:rPr>
        <w:t>*</w:t>
      </w:r>
      <w:r w:rsidRPr="00277AA5">
        <w:rPr>
          <w:iCs/>
          <w:sz w:val="20"/>
          <w:szCs w:val="20"/>
        </w:rPr>
        <w:t>Post-Merger</w:t>
      </w:r>
      <w:r w:rsidRPr="00277AA5">
        <w:rPr>
          <w:sz w:val="20"/>
          <w:szCs w:val="20"/>
        </w:rPr>
        <w:t>*</w:t>
      </w:r>
      <w:r w:rsidRPr="00277AA5">
        <w:rPr>
          <w:iCs/>
          <w:sz w:val="20"/>
          <w:szCs w:val="20"/>
        </w:rPr>
        <w:t>Segment</w:t>
      </w:r>
      <w:r w:rsidRPr="00B51D6D">
        <w:rPr>
          <w:sz w:val="20"/>
          <w:szCs w:val="20"/>
        </w:rPr>
        <w:t>+ Σβ</w:t>
      </w:r>
      <w:proofErr w:type="spellStart"/>
      <w:r w:rsidRPr="00B51D6D">
        <w:rPr>
          <w:sz w:val="20"/>
          <w:szCs w:val="20"/>
        </w:rPr>
        <w:t>i</w:t>
      </w:r>
      <w:proofErr w:type="spellEnd"/>
      <w:r w:rsidRPr="00B51D6D">
        <w:rPr>
          <w:sz w:val="20"/>
          <w:szCs w:val="20"/>
        </w:rPr>
        <w:t>*Control Variables  (for models 2 and 4).</w:t>
      </w:r>
    </w:p>
    <w:p w:rsidR="00A44F5C" w:rsidRPr="00B51D6D" w:rsidRDefault="00A44F5C" w:rsidP="00A44F5C">
      <w:pPr>
        <w:jc w:val="both"/>
        <w:rPr>
          <w:sz w:val="20"/>
          <w:szCs w:val="20"/>
        </w:rPr>
      </w:pPr>
    </w:p>
    <w:p w:rsidR="00A44F5C" w:rsidRPr="00B51D6D" w:rsidRDefault="00A44F5C" w:rsidP="00A44F5C">
      <w:pPr>
        <w:jc w:val="both"/>
        <w:rPr>
          <w:sz w:val="20"/>
          <w:szCs w:val="20"/>
        </w:rPr>
      </w:pPr>
      <w:r w:rsidRPr="00B51D6D">
        <w:rPr>
          <w:sz w:val="20"/>
          <w:szCs w:val="20"/>
        </w:rPr>
        <w:t xml:space="preserve">All variables are as defined in table 2 of the paper.  *** indicates statistical </w:t>
      </w:r>
      <w:r w:rsidR="007A45CC" w:rsidRPr="00B51D6D">
        <w:rPr>
          <w:sz w:val="20"/>
          <w:szCs w:val="20"/>
        </w:rPr>
        <w:t>significan</w:t>
      </w:r>
      <w:r w:rsidR="007A45CC">
        <w:rPr>
          <w:sz w:val="20"/>
          <w:szCs w:val="20"/>
        </w:rPr>
        <w:t>ce</w:t>
      </w:r>
      <w:r w:rsidR="007A45CC" w:rsidRPr="00B51D6D">
        <w:rPr>
          <w:sz w:val="20"/>
          <w:szCs w:val="20"/>
        </w:rPr>
        <w:t xml:space="preserve"> </w:t>
      </w:r>
      <w:r w:rsidRPr="00B51D6D">
        <w:rPr>
          <w:sz w:val="20"/>
          <w:szCs w:val="20"/>
        </w:rPr>
        <w:t xml:space="preserve">at the 0.01 level, ** indicates statistical significance at the 0.05 level, and * indicates statistical </w:t>
      </w:r>
      <w:r w:rsidR="007A45CC" w:rsidRPr="00B51D6D">
        <w:rPr>
          <w:sz w:val="20"/>
          <w:szCs w:val="20"/>
        </w:rPr>
        <w:t>significan</w:t>
      </w:r>
      <w:r w:rsidR="007A45CC">
        <w:rPr>
          <w:sz w:val="20"/>
          <w:szCs w:val="20"/>
        </w:rPr>
        <w:t>ce</w:t>
      </w:r>
      <w:r w:rsidR="007A45CC" w:rsidRPr="00B51D6D">
        <w:rPr>
          <w:sz w:val="20"/>
          <w:szCs w:val="20"/>
        </w:rPr>
        <w:t xml:space="preserve"> </w:t>
      </w:r>
      <w:r w:rsidRPr="00B51D6D">
        <w:rPr>
          <w:sz w:val="20"/>
          <w:szCs w:val="20"/>
        </w:rPr>
        <w:t>at the 0.10 level (two-tailed test).</w:t>
      </w:r>
    </w:p>
    <w:p w:rsidR="00D03F92" w:rsidRDefault="00D03F92" w:rsidP="00E6280C">
      <w:pPr>
        <w:jc w:val="center"/>
        <w:outlineLvl w:val="0"/>
        <w:rPr>
          <w:sz w:val="20"/>
        </w:rPr>
      </w:pPr>
    </w:p>
    <w:sectPr w:rsidR="00D03F92" w:rsidSect="00E6280C">
      <w:head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53" w:rsidRDefault="00D23A53">
      <w:r>
        <w:separator/>
      </w:r>
    </w:p>
  </w:endnote>
  <w:endnote w:type="continuationSeparator" w:id="0">
    <w:p w:rsidR="00D23A53" w:rsidRDefault="00D2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93" w:rsidRDefault="00E30193">
    <w:pPr>
      <w:pStyle w:val="Footer"/>
      <w:jc w:val="right"/>
    </w:pPr>
    <w:r>
      <w:fldChar w:fldCharType="begin"/>
    </w:r>
    <w:r>
      <w:instrText xml:space="preserve"> PAGE   \* MERGEFORMAT </w:instrText>
    </w:r>
    <w:r>
      <w:fldChar w:fldCharType="separate"/>
    </w:r>
    <w:r w:rsidR="00E274C3">
      <w:rPr>
        <w:noProof/>
      </w:rPr>
      <w:t>2</w:t>
    </w:r>
    <w:r>
      <w:rPr>
        <w:noProof/>
      </w:rPr>
      <w:fldChar w:fldCharType="end"/>
    </w:r>
  </w:p>
  <w:p w:rsidR="00E30193" w:rsidRDefault="00E30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93" w:rsidRDefault="00E30193">
    <w:pPr>
      <w:pStyle w:val="Footer"/>
      <w:jc w:val="right"/>
    </w:pPr>
  </w:p>
  <w:p w:rsidR="00E30193" w:rsidRDefault="00E30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7588"/>
      <w:docPartObj>
        <w:docPartGallery w:val="Page Numbers (Bottom of Page)"/>
        <w:docPartUnique/>
      </w:docPartObj>
    </w:sdtPr>
    <w:sdtEndPr/>
    <w:sdtContent>
      <w:p w:rsidR="00E30193" w:rsidRDefault="00E30193">
        <w:pPr>
          <w:pStyle w:val="Footer"/>
          <w:jc w:val="right"/>
        </w:pPr>
        <w:r>
          <w:fldChar w:fldCharType="begin"/>
        </w:r>
        <w:r>
          <w:instrText xml:space="preserve"> PAGE   \* MERGEFORMAT </w:instrText>
        </w:r>
        <w:r>
          <w:fldChar w:fldCharType="separate"/>
        </w:r>
        <w:r w:rsidR="00E274C3">
          <w:rPr>
            <w:noProof/>
          </w:rPr>
          <w:t>1</w:t>
        </w:r>
        <w:r>
          <w:rPr>
            <w:noProof/>
          </w:rPr>
          <w:fldChar w:fldCharType="end"/>
        </w:r>
      </w:p>
    </w:sdtContent>
  </w:sdt>
  <w:p w:rsidR="00E30193" w:rsidRDefault="00E3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53" w:rsidRDefault="00D23A53">
      <w:r>
        <w:separator/>
      </w:r>
    </w:p>
  </w:footnote>
  <w:footnote w:type="continuationSeparator" w:id="0">
    <w:p w:rsidR="00D23A53" w:rsidRDefault="00D23A53">
      <w:r>
        <w:continuationSeparator/>
      </w:r>
    </w:p>
  </w:footnote>
  <w:footnote w:id="1">
    <w:p w:rsidR="00E30193" w:rsidRPr="00E30193" w:rsidRDefault="00E30193" w:rsidP="006D0625">
      <w:pPr>
        <w:pStyle w:val="FootnoteText"/>
        <w:jc w:val="both"/>
        <w:rPr>
          <w:rFonts w:ascii="Times New Roman" w:hAnsi="Times New Roman"/>
        </w:rPr>
      </w:pPr>
      <w:r w:rsidRPr="00E3145A">
        <w:rPr>
          <w:rStyle w:val="FootnoteReference"/>
          <w:rFonts w:ascii="Times New Roman" w:hAnsi="Times New Roman"/>
        </w:rPr>
        <w:footnoteRef/>
      </w:r>
      <w:r>
        <w:rPr>
          <w:rFonts w:ascii="Times New Roman" w:hAnsi="Times New Roman"/>
        </w:rPr>
        <w:t xml:space="preserve"> </w:t>
      </w:r>
      <w:proofErr w:type="spellStart"/>
      <w:r w:rsidRPr="00E30193">
        <w:rPr>
          <w:rFonts w:ascii="Times New Roman" w:hAnsi="Times New Roman"/>
        </w:rPr>
        <w:t>Nielsson</w:t>
      </w:r>
      <w:proofErr w:type="spellEnd"/>
      <w:r w:rsidRPr="00E30193">
        <w:rPr>
          <w:rFonts w:ascii="Times New Roman" w:hAnsi="Times New Roman"/>
        </w:rPr>
        <w:t xml:space="preserve"> (2009) discusses the demutualization and merger of cross-border stock exchanges, and the limited interdependence that resulted.  Euronext is the only integrated trading platform accompanying a cross-border stock exchange merger to date.</w:t>
      </w:r>
    </w:p>
  </w:footnote>
  <w:footnote w:id="2">
    <w:p w:rsidR="00E30193" w:rsidRPr="00E30193" w:rsidRDefault="00E30193" w:rsidP="006D0625">
      <w:pPr>
        <w:pStyle w:val="FootnoteText"/>
        <w:jc w:val="both"/>
        <w:rPr>
          <w:rFonts w:ascii="Times New Roman" w:hAnsi="Times New Roman"/>
        </w:rPr>
      </w:pPr>
      <w:r w:rsidRPr="00E30193">
        <w:rPr>
          <w:rStyle w:val="FootnoteReference"/>
          <w:rFonts w:ascii="Times New Roman" w:hAnsi="Times New Roman"/>
        </w:rPr>
        <w:footnoteRef/>
      </w:r>
      <w:r w:rsidRPr="00E30193">
        <w:rPr>
          <w:rFonts w:ascii="Times New Roman" w:hAnsi="Times New Roman"/>
        </w:rPr>
        <w:t xml:space="preserve"> See The Economist (2006).</w:t>
      </w:r>
    </w:p>
  </w:footnote>
  <w:footnote w:id="3">
    <w:p w:rsidR="00E30193" w:rsidRPr="00E30193" w:rsidRDefault="00E30193" w:rsidP="006D0625">
      <w:pPr>
        <w:pStyle w:val="FootnoteText"/>
        <w:jc w:val="both"/>
        <w:rPr>
          <w:rFonts w:ascii="Times New Roman" w:hAnsi="Times New Roman"/>
        </w:rPr>
      </w:pPr>
      <w:r w:rsidRPr="00E30193">
        <w:rPr>
          <w:rStyle w:val="FootnoteReference"/>
          <w:rFonts w:ascii="Times New Roman" w:hAnsi="Times New Roman"/>
        </w:rPr>
        <w:footnoteRef/>
      </w:r>
      <w:r w:rsidRPr="00E30193">
        <w:rPr>
          <w:rFonts w:ascii="Times New Roman" w:hAnsi="Times New Roman"/>
        </w:rPr>
        <w:t xml:space="preserve"> Federal Reserve Bank of New York (2002) discusses the goals of the European stock exchange consolidation and the potential benefits, especially liquidity and lessened fragmentation.  </w:t>
      </w:r>
    </w:p>
  </w:footnote>
  <w:footnote w:id="4">
    <w:p w:rsidR="00E30193" w:rsidRDefault="00E30193" w:rsidP="00E30193">
      <w:pPr>
        <w:pStyle w:val="FootnoteText"/>
        <w:jc w:val="both"/>
      </w:pPr>
      <w:r w:rsidRPr="00F93C51">
        <w:rPr>
          <w:rStyle w:val="FootnoteReference"/>
          <w:rFonts w:ascii="Times New Roman" w:hAnsi="Times New Roman"/>
        </w:rPr>
        <w:footnoteRef/>
      </w:r>
      <w:r>
        <w:rPr>
          <w:rFonts w:ascii="Times New Roman" w:hAnsi="Times New Roman"/>
        </w:rPr>
        <w:t xml:space="preserve"> </w:t>
      </w:r>
      <w:r w:rsidRPr="00B83121">
        <w:rPr>
          <w:rFonts w:ascii="Times New Roman" w:hAnsi="Times New Roman"/>
        </w:rPr>
        <w:t xml:space="preserve">Throughout this paper, we refer to </w:t>
      </w:r>
      <w:r>
        <w:rPr>
          <w:rFonts w:ascii="Times New Roman" w:hAnsi="Times New Roman"/>
        </w:rPr>
        <w:t>NextEconomy</w:t>
      </w:r>
      <w:r w:rsidRPr="00B83121">
        <w:rPr>
          <w:rFonts w:ascii="Times New Roman" w:hAnsi="Times New Roman"/>
        </w:rPr>
        <w:t xml:space="preserve"> and </w:t>
      </w:r>
      <w:r>
        <w:rPr>
          <w:rFonts w:ascii="Times New Roman" w:hAnsi="Times New Roman"/>
        </w:rPr>
        <w:t>NextPrime</w:t>
      </w:r>
      <w:r w:rsidRPr="00B83121">
        <w:rPr>
          <w:rFonts w:ascii="Times New Roman" w:hAnsi="Times New Roman"/>
        </w:rPr>
        <w:t xml:space="preserve"> collectively as "the named segments".  We include the two segments in one category in our primary analyses, but </w:t>
      </w:r>
      <w:r>
        <w:rPr>
          <w:rFonts w:ascii="Times New Roman" w:hAnsi="Times New Roman"/>
        </w:rPr>
        <w:t>also describe</w:t>
      </w:r>
      <w:r w:rsidRPr="00B83121">
        <w:rPr>
          <w:rFonts w:ascii="Times New Roman" w:hAnsi="Times New Roman"/>
        </w:rPr>
        <w:t xml:space="preserve"> results supporting the same inferences separately for each segment as diagnostics.</w:t>
      </w:r>
    </w:p>
  </w:footnote>
  <w:footnote w:id="5">
    <w:p w:rsidR="00E30193" w:rsidRDefault="00E30193">
      <w:pPr>
        <w:pStyle w:val="FootnoteText"/>
      </w:pPr>
      <w:r w:rsidRPr="00E30193">
        <w:rPr>
          <w:rStyle w:val="FootnoteReference"/>
          <w:rFonts w:ascii="Times New Roman" w:hAnsi="Times New Roman"/>
        </w:rPr>
        <w:footnoteRef/>
      </w:r>
      <w:r w:rsidRPr="00E30193">
        <w:rPr>
          <w:rFonts w:ascii="Times New Roman" w:hAnsi="Times New Roman"/>
        </w:rPr>
        <w:t xml:space="preserve"> </w:t>
      </w:r>
      <w:r w:rsidRPr="00794D72">
        <w:rPr>
          <w:rFonts w:ascii="Times New Roman" w:hAnsi="Times New Roman"/>
        </w:rPr>
        <w:t xml:space="preserve">See Karolyi (2012) for a review </w:t>
      </w:r>
      <w:r>
        <w:rPr>
          <w:rFonts w:ascii="Times New Roman" w:hAnsi="Times New Roman"/>
        </w:rPr>
        <w:t xml:space="preserve">and discussion </w:t>
      </w:r>
      <w:r w:rsidRPr="00794D72">
        <w:rPr>
          <w:rFonts w:ascii="Times New Roman" w:hAnsi="Times New Roman"/>
        </w:rPr>
        <w:t>of the bonding literature</w:t>
      </w:r>
      <w:r>
        <w:rPr>
          <w:rFonts w:ascii="Times New Roman" w:hAnsi="Times New Roman"/>
        </w:rPr>
        <w:t>.</w:t>
      </w:r>
    </w:p>
  </w:footnote>
  <w:footnote w:id="6">
    <w:p w:rsidR="00E30193" w:rsidRDefault="00E30193" w:rsidP="00C9721E">
      <w:pPr>
        <w:pStyle w:val="FootnoteText"/>
      </w:pPr>
      <w:r w:rsidRPr="00F93C51">
        <w:rPr>
          <w:rStyle w:val="FootnoteReference"/>
          <w:rFonts w:ascii="Times New Roman" w:hAnsi="Times New Roman"/>
        </w:rPr>
        <w:footnoteRef/>
      </w:r>
      <w:r>
        <w:rPr>
          <w:rFonts w:ascii="Times New Roman" w:hAnsi="Times New Roman"/>
        </w:rPr>
        <w:t xml:space="preserve"> </w:t>
      </w:r>
      <w:r w:rsidRPr="00691C47">
        <w:rPr>
          <w:rFonts w:ascii="Times New Roman" w:hAnsi="Times New Roman"/>
        </w:rPr>
        <w:t xml:space="preserve">See </w:t>
      </w:r>
      <w:proofErr w:type="spellStart"/>
      <w:r w:rsidRPr="00691C47">
        <w:rPr>
          <w:rFonts w:ascii="Times New Roman" w:hAnsi="Times New Roman"/>
        </w:rPr>
        <w:t>Vagias</w:t>
      </w:r>
      <w:proofErr w:type="spellEnd"/>
      <w:r w:rsidRPr="00691C47">
        <w:rPr>
          <w:rFonts w:ascii="Times New Roman" w:hAnsi="Times New Roman"/>
        </w:rPr>
        <w:t xml:space="preserve"> and van </w:t>
      </w:r>
      <w:proofErr w:type="spellStart"/>
      <w:r w:rsidRPr="00691C47">
        <w:rPr>
          <w:rFonts w:ascii="Times New Roman" w:hAnsi="Times New Roman"/>
        </w:rPr>
        <w:t>Dijk</w:t>
      </w:r>
      <w:proofErr w:type="spellEnd"/>
      <w:r w:rsidRPr="00691C47">
        <w:rPr>
          <w:rFonts w:ascii="Times New Roman" w:hAnsi="Times New Roman"/>
        </w:rPr>
        <w:t xml:space="preserve"> (</w:t>
      </w:r>
      <w:r w:rsidR="00AB27B6" w:rsidRPr="00691C47">
        <w:rPr>
          <w:rFonts w:ascii="Times New Roman" w:hAnsi="Times New Roman"/>
        </w:rPr>
        <w:t>201</w:t>
      </w:r>
      <w:r w:rsidR="00AB27B6">
        <w:rPr>
          <w:rFonts w:ascii="Times New Roman" w:hAnsi="Times New Roman"/>
        </w:rPr>
        <w:t>2</w:t>
      </w:r>
      <w:r w:rsidRPr="00691C47">
        <w:rPr>
          <w:rFonts w:ascii="Times New Roman" w:hAnsi="Times New Roman"/>
        </w:rPr>
        <w:t>).</w:t>
      </w:r>
    </w:p>
  </w:footnote>
  <w:footnote w:id="7">
    <w:p w:rsidR="00E30193" w:rsidRPr="00E8717A" w:rsidRDefault="00E30193" w:rsidP="00A60120">
      <w:pPr>
        <w:pStyle w:val="FootnoteText"/>
        <w:jc w:val="both"/>
        <w:rPr>
          <w:rFonts w:ascii="Times New Roman" w:hAnsi="Times New Roman"/>
        </w:rPr>
      </w:pPr>
      <w:r w:rsidRPr="00F93C51">
        <w:rPr>
          <w:rStyle w:val="FootnoteReference"/>
          <w:rFonts w:ascii="Times New Roman" w:hAnsi="Times New Roman"/>
        </w:rPr>
        <w:footnoteRef/>
      </w:r>
      <w:r>
        <w:rPr>
          <w:rFonts w:ascii="Times New Roman" w:hAnsi="Times New Roman"/>
        </w:rPr>
        <w:t xml:space="preserve"> It is plausible that finding increases in liquidity for segment firms in the post-merger period is mechanical. </w:t>
      </w:r>
      <w:r w:rsidRPr="00E8717A">
        <w:rPr>
          <w:rFonts w:ascii="Times New Roman" w:hAnsi="Times New Roman"/>
        </w:rPr>
        <w:t xml:space="preserve"> </w:t>
      </w:r>
      <w:r>
        <w:rPr>
          <w:rFonts w:ascii="Times New Roman" w:hAnsi="Times New Roman"/>
        </w:rPr>
        <w:t>Our cross-sectional tests us</w:t>
      </w:r>
      <w:r w:rsidR="001334CA">
        <w:rPr>
          <w:rFonts w:ascii="Times New Roman" w:hAnsi="Times New Roman"/>
        </w:rPr>
        <w:t>i</w:t>
      </w:r>
      <w:r>
        <w:rPr>
          <w:rFonts w:ascii="Times New Roman" w:hAnsi="Times New Roman"/>
        </w:rPr>
        <w:t>ng differences in firms' compliance with the Commitment Agreements address this concern.  See section 4.2.3.</w:t>
      </w:r>
    </w:p>
  </w:footnote>
  <w:footnote w:id="8">
    <w:p w:rsidR="00E30193" w:rsidRPr="009E2988" w:rsidRDefault="00E30193" w:rsidP="009E2988">
      <w:pPr>
        <w:pStyle w:val="FootnoteText"/>
        <w:jc w:val="both"/>
        <w:rPr>
          <w:rFonts w:ascii="Times New Roman" w:hAnsi="Times New Roman"/>
        </w:rPr>
      </w:pPr>
      <w:r w:rsidRPr="00F93C51">
        <w:rPr>
          <w:rStyle w:val="FootnoteReference"/>
          <w:rFonts w:ascii="Times New Roman" w:hAnsi="Times New Roman"/>
        </w:rPr>
        <w:footnoteRef/>
      </w:r>
      <w:r>
        <w:rPr>
          <w:rFonts w:ascii="Times New Roman" w:hAnsi="Times New Roman"/>
        </w:rPr>
        <w:t xml:space="preserve"> </w:t>
      </w:r>
      <w:r w:rsidRPr="009E2988">
        <w:rPr>
          <w:rFonts w:ascii="Times New Roman" w:hAnsi="Times New Roman"/>
        </w:rPr>
        <w:t>Note that auditors and other certification agents are also able to certify compliance with higher standards of accounting quality. However, these agents can</w:t>
      </w:r>
      <w:r>
        <w:rPr>
          <w:rFonts w:ascii="Times New Roman" w:hAnsi="Times New Roman"/>
        </w:rPr>
        <w:t>no</w:t>
      </w:r>
      <w:r w:rsidRPr="009E2988">
        <w:rPr>
          <w:rFonts w:ascii="Times New Roman" w:hAnsi="Times New Roman"/>
        </w:rPr>
        <w:t xml:space="preserve">t </w:t>
      </w:r>
      <w:r w:rsidRPr="00B70707">
        <w:rPr>
          <w:rFonts w:ascii="Times New Roman" w:hAnsi="Times New Roman"/>
          <w:i/>
        </w:rPr>
        <w:t>impose</w:t>
      </w:r>
      <w:r w:rsidRPr="009E2988">
        <w:rPr>
          <w:rFonts w:ascii="Times New Roman" w:hAnsi="Times New Roman"/>
        </w:rPr>
        <w:t xml:space="preserve"> a set of enhanced uniform rules for financial reporting and disclosure. Therefore, the segmentation mechanism has a unique role in this regard.</w:t>
      </w:r>
    </w:p>
  </w:footnote>
  <w:footnote w:id="9">
    <w:p w:rsidR="00E30193" w:rsidRDefault="00E30193" w:rsidP="006D0625">
      <w:pPr>
        <w:pStyle w:val="FootnoteText"/>
        <w:jc w:val="both"/>
      </w:pPr>
      <w:r w:rsidRPr="00F93C51">
        <w:rPr>
          <w:rStyle w:val="FootnoteReference"/>
          <w:rFonts w:ascii="Times New Roman" w:hAnsi="Times New Roman"/>
        </w:rPr>
        <w:footnoteRef/>
      </w:r>
      <w:r>
        <w:rPr>
          <w:rFonts w:ascii="Times New Roman" w:hAnsi="Times New Roman"/>
        </w:rPr>
        <w:t xml:space="preserve">Given that we focus on equity markets, we do not examine firms listed on the Exchange in the United Kingdom because only derivative securities are traded on the LIFFE (London International Financial Futures Exchange).  In 2010, NYSE Euronext launched a new market in London for international issuers, but with a separate trading platform. </w:t>
      </w:r>
    </w:p>
  </w:footnote>
  <w:footnote w:id="10">
    <w:p w:rsidR="00E30193" w:rsidRPr="0041231B" w:rsidRDefault="00E30193" w:rsidP="006D0625">
      <w:pPr>
        <w:pStyle w:val="FootnoteText"/>
        <w:jc w:val="both"/>
        <w:rPr>
          <w:rFonts w:ascii="Times New Roman" w:hAnsi="Times New Roman"/>
        </w:rPr>
      </w:pPr>
      <w:r w:rsidRPr="0041231B">
        <w:rPr>
          <w:rStyle w:val="FootnoteReference"/>
          <w:rFonts w:ascii="Times New Roman" w:hAnsi="Times New Roman"/>
        </w:rPr>
        <w:footnoteRef/>
      </w:r>
      <w:r>
        <w:rPr>
          <w:rFonts w:ascii="Times New Roman" w:hAnsi="Times New Roman"/>
        </w:rPr>
        <w:t xml:space="preserve"> </w:t>
      </w:r>
      <w:r w:rsidRPr="0041231B">
        <w:rPr>
          <w:rFonts w:ascii="Times New Roman" w:hAnsi="Times New Roman"/>
        </w:rPr>
        <w:t>Much of t</w:t>
      </w:r>
      <w:r>
        <w:rPr>
          <w:rFonts w:ascii="Times New Roman" w:hAnsi="Times New Roman"/>
        </w:rPr>
        <w:t>he descriptive material in Sections 2.1 and 2.2</w:t>
      </w:r>
      <w:r w:rsidRPr="0041231B">
        <w:rPr>
          <w:rFonts w:ascii="Times New Roman" w:hAnsi="Times New Roman"/>
        </w:rPr>
        <w:t xml:space="preserve"> is gathered from the Euronext NV Annual Reports of 200</w:t>
      </w:r>
      <w:r>
        <w:rPr>
          <w:rFonts w:ascii="Times New Roman" w:hAnsi="Times New Roman"/>
        </w:rPr>
        <w:t>1 through 2008.  For additional</w:t>
      </w:r>
      <w:r w:rsidRPr="0041231B">
        <w:rPr>
          <w:rFonts w:ascii="Times New Roman" w:hAnsi="Times New Roman"/>
        </w:rPr>
        <w:t xml:space="preserve"> description of the Euronext segments, see Euronext Product Information on the NYSE Euronext website at </w:t>
      </w:r>
      <w:r w:rsidRPr="00E30193">
        <w:rPr>
          <w:rFonts w:ascii="Times New Roman" w:hAnsi="Times New Roman"/>
        </w:rPr>
        <w:t>http://www.euronext.com/editorial/wide/editorial-2667-EN.html?selectedMep=2&amp;idInstrument=15427</w:t>
      </w:r>
      <w:r>
        <w:rPr>
          <w:rFonts w:ascii="Times New Roman" w:hAnsi="Times New Roman"/>
        </w:rPr>
        <w:t xml:space="preserve"> </w:t>
      </w:r>
      <w:r w:rsidRPr="0041231B">
        <w:rPr>
          <w:rFonts w:ascii="Times New Roman" w:hAnsi="Times New Roman"/>
        </w:rPr>
        <w:t>&amp;</w:t>
      </w:r>
      <w:proofErr w:type="spellStart"/>
      <w:r w:rsidRPr="0041231B">
        <w:rPr>
          <w:rFonts w:ascii="Times New Roman" w:hAnsi="Times New Roman"/>
        </w:rPr>
        <w:t>isin</w:t>
      </w:r>
      <w:proofErr w:type="spellEnd"/>
      <w:r>
        <w:rPr>
          <w:rFonts w:ascii="Times New Roman" w:hAnsi="Times New Roman"/>
        </w:rPr>
        <w:t xml:space="preserve"> </w:t>
      </w:r>
      <w:r w:rsidRPr="0041231B">
        <w:rPr>
          <w:rFonts w:ascii="Times New Roman" w:hAnsi="Times New Roman"/>
        </w:rPr>
        <w:t>Code=NL0000251304.</w:t>
      </w:r>
    </w:p>
  </w:footnote>
  <w:footnote w:id="11">
    <w:p w:rsidR="00E30193" w:rsidRPr="003F10BD" w:rsidRDefault="00E30193">
      <w:pPr>
        <w:pStyle w:val="FootnoteText"/>
        <w:rPr>
          <w:rFonts w:ascii="Times New Roman" w:hAnsi="Times New Roman"/>
        </w:rPr>
      </w:pPr>
      <w:r w:rsidRPr="00352092">
        <w:rPr>
          <w:rStyle w:val="FootnoteReference"/>
          <w:rFonts w:ascii="Times New Roman" w:hAnsi="Times New Roman"/>
        </w:rPr>
        <w:footnoteRef/>
      </w:r>
      <w:r>
        <w:rPr>
          <w:rFonts w:ascii="Times New Roman" w:hAnsi="Times New Roman"/>
        </w:rPr>
        <w:t xml:space="preserve"> </w:t>
      </w:r>
      <w:r w:rsidRPr="003F10BD">
        <w:rPr>
          <w:rFonts w:ascii="Times New Roman" w:hAnsi="Times New Roman"/>
        </w:rPr>
        <w:t>See archived weekly notices of removals and additions on the NYSE Euronext website.</w:t>
      </w:r>
    </w:p>
  </w:footnote>
  <w:footnote w:id="12">
    <w:p w:rsidR="00E30193" w:rsidRPr="003F10BD" w:rsidRDefault="00E30193" w:rsidP="006D0625">
      <w:pPr>
        <w:jc w:val="both"/>
      </w:pPr>
      <w:r w:rsidRPr="00352092">
        <w:rPr>
          <w:rStyle w:val="FootnoteReference"/>
          <w:sz w:val="20"/>
        </w:rPr>
        <w:footnoteRef/>
      </w:r>
      <w:r>
        <w:rPr>
          <w:sz w:val="20"/>
          <w:szCs w:val="20"/>
        </w:rPr>
        <w:t xml:space="preserve"> </w:t>
      </w:r>
      <w:r w:rsidRPr="001610D0">
        <w:rPr>
          <w:sz w:val="20"/>
          <w:szCs w:val="20"/>
        </w:rPr>
        <w:t xml:space="preserve">See “Suppression des segments Nextprime </w:t>
      </w:r>
      <w:proofErr w:type="gramStart"/>
      <w:r w:rsidRPr="001610D0">
        <w:rPr>
          <w:sz w:val="20"/>
          <w:szCs w:val="20"/>
        </w:rPr>
        <w:t>et</w:t>
      </w:r>
      <w:proofErr w:type="gramEnd"/>
      <w:r w:rsidRPr="001610D0">
        <w:rPr>
          <w:sz w:val="20"/>
          <w:szCs w:val="20"/>
        </w:rPr>
        <w:t xml:space="preserve"> Nexteconomy" published by NYSE Euronext on 10/23</w:t>
      </w:r>
      <w:r>
        <w:rPr>
          <w:sz w:val="20"/>
          <w:szCs w:val="20"/>
        </w:rPr>
        <w:t>/2007.</w:t>
      </w:r>
    </w:p>
  </w:footnote>
  <w:footnote w:id="13">
    <w:p w:rsidR="00E30193" w:rsidRPr="00C534A9" w:rsidRDefault="00E30193" w:rsidP="006D0625">
      <w:pPr>
        <w:jc w:val="both"/>
      </w:pPr>
      <w:r w:rsidRPr="00352092">
        <w:rPr>
          <w:rStyle w:val="FootnoteReference"/>
          <w:sz w:val="20"/>
        </w:rPr>
        <w:footnoteRef/>
      </w:r>
      <w:r>
        <w:rPr>
          <w:sz w:val="20"/>
          <w:szCs w:val="20"/>
        </w:rPr>
        <w:t xml:space="preserve"> </w:t>
      </w:r>
      <w:r w:rsidRPr="00C532CC">
        <w:rPr>
          <w:sz w:val="20"/>
          <w:szCs w:val="20"/>
        </w:rPr>
        <w:t xml:space="preserve">See Christensen, Hail, and </w:t>
      </w:r>
      <w:proofErr w:type="spellStart"/>
      <w:r w:rsidRPr="00C532CC">
        <w:rPr>
          <w:sz w:val="20"/>
          <w:szCs w:val="20"/>
        </w:rPr>
        <w:t>Leuz</w:t>
      </w:r>
      <w:proofErr w:type="spellEnd"/>
      <w:r w:rsidRPr="00C532CC">
        <w:rPr>
          <w:sz w:val="20"/>
          <w:szCs w:val="20"/>
        </w:rPr>
        <w:t xml:space="preserve"> (2011) for a description of the implementation and enforcement of the EU Market Abuse and Transparency Directives and their effects on market liquidity and cost of capital. </w:t>
      </w:r>
      <w:r>
        <w:t xml:space="preserve"> </w:t>
      </w:r>
      <w:r w:rsidRPr="001610D0">
        <w:rPr>
          <w:sz w:val="20"/>
          <w:szCs w:val="20"/>
        </w:rPr>
        <w:t xml:space="preserve">We </w:t>
      </w:r>
      <w:r>
        <w:rPr>
          <w:sz w:val="20"/>
          <w:szCs w:val="20"/>
        </w:rPr>
        <w:t xml:space="preserve">did </w:t>
      </w:r>
      <w:r w:rsidRPr="001610D0">
        <w:rPr>
          <w:sz w:val="20"/>
          <w:szCs w:val="20"/>
        </w:rPr>
        <w:t>not expect the disbanding of the two named segments following the Transparency Directive to change the compliance choices of our segment firms, given that disclosure and reporting policies are sticky</w:t>
      </w:r>
      <w:r>
        <w:rPr>
          <w:sz w:val="20"/>
          <w:szCs w:val="20"/>
        </w:rPr>
        <w:t>, and we present results consistent with that expectation</w:t>
      </w:r>
      <w:r w:rsidRPr="001610D0">
        <w:rPr>
          <w:sz w:val="20"/>
          <w:szCs w:val="20"/>
        </w:rPr>
        <w:t xml:space="preserve">.  </w:t>
      </w:r>
      <w:r>
        <w:rPr>
          <w:sz w:val="20"/>
          <w:szCs w:val="20"/>
        </w:rPr>
        <w:t xml:space="preserve">We </w:t>
      </w:r>
      <w:r w:rsidRPr="001610D0">
        <w:rPr>
          <w:sz w:val="20"/>
          <w:szCs w:val="20"/>
        </w:rPr>
        <w:t>expect</w:t>
      </w:r>
      <w:r>
        <w:rPr>
          <w:sz w:val="20"/>
          <w:szCs w:val="20"/>
        </w:rPr>
        <w:t>ed</w:t>
      </w:r>
      <w:r w:rsidRPr="001610D0">
        <w:rPr>
          <w:sz w:val="20"/>
          <w:szCs w:val="20"/>
        </w:rPr>
        <w:t xml:space="preserve"> the</w:t>
      </w:r>
      <w:r>
        <w:rPr>
          <w:sz w:val="20"/>
          <w:szCs w:val="20"/>
        </w:rPr>
        <w:t xml:space="preserve"> </w:t>
      </w:r>
      <w:r w:rsidRPr="001610D0">
        <w:rPr>
          <w:sz w:val="20"/>
          <w:szCs w:val="20"/>
        </w:rPr>
        <w:t xml:space="preserve">disclosure and reporting </w:t>
      </w:r>
      <w:r>
        <w:rPr>
          <w:sz w:val="20"/>
          <w:szCs w:val="20"/>
        </w:rPr>
        <w:t xml:space="preserve">of </w:t>
      </w:r>
      <w:r w:rsidRPr="001610D0">
        <w:rPr>
          <w:sz w:val="20"/>
          <w:szCs w:val="20"/>
        </w:rPr>
        <w:t>the non-segment firms</w:t>
      </w:r>
      <w:r>
        <w:rPr>
          <w:sz w:val="20"/>
          <w:szCs w:val="20"/>
        </w:rPr>
        <w:t xml:space="preserve"> to improve</w:t>
      </w:r>
      <w:r w:rsidRPr="001610D0">
        <w:rPr>
          <w:sz w:val="20"/>
          <w:szCs w:val="20"/>
        </w:rPr>
        <w:t xml:space="preserve">. </w:t>
      </w:r>
      <w:r>
        <w:rPr>
          <w:sz w:val="20"/>
          <w:szCs w:val="20"/>
        </w:rPr>
        <w:t>I</w:t>
      </w:r>
      <w:r w:rsidRPr="001610D0">
        <w:rPr>
          <w:sz w:val="20"/>
          <w:szCs w:val="20"/>
        </w:rPr>
        <w:t xml:space="preserve">f present, such improvement would increase the similarity between segment and non-segment firms. </w:t>
      </w:r>
    </w:p>
  </w:footnote>
  <w:footnote w:id="14">
    <w:p w:rsidR="00E30193" w:rsidRPr="004E41CF" w:rsidRDefault="00E30193" w:rsidP="004E41CF">
      <w:pPr>
        <w:pStyle w:val="FootnoteText"/>
        <w:jc w:val="both"/>
        <w:rPr>
          <w:rFonts w:ascii="Times New Roman" w:hAnsi="Times New Roman"/>
        </w:rPr>
      </w:pPr>
      <w:r w:rsidRPr="00352092">
        <w:rPr>
          <w:rStyle w:val="FootnoteReference"/>
          <w:rFonts w:ascii="Times New Roman" w:hAnsi="Times New Roman"/>
        </w:rPr>
        <w:footnoteRef/>
      </w:r>
      <w:r w:rsidRPr="00352092">
        <w:rPr>
          <w:rFonts w:ascii="Times New Roman" w:hAnsi="Times New Roman"/>
        </w:rPr>
        <w:t xml:space="preserve"> </w:t>
      </w:r>
      <w:r w:rsidRPr="004E41CF">
        <w:rPr>
          <w:rFonts w:ascii="Times New Roman" w:hAnsi="Times New Roman"/>
        </w:rPr>
        <w:t>Note that the segment listing requirements also require that firms describe corporate governance policy in the annual reports. We have chosen to focus on the financial reporting provisions of the listing agreements because we think the requirement itself is not a very meaningful measure.  Although the investigation of the role of co</w:t>
      </w:r>
      <w:r>
        <w:rPr>
          <w:rFonts w:ascii="Times New Roman" w:hAnsi="Times New Roman"/>
        </w:rPr>
        <w:t>r</w:t>
      </w:r>
      <w:r w:rsidRPr="004E41CF">
        <w:rPr>
          <w:rFonts w:ascii="Times New Roman" w:hAnsi="Times New Roman"/>
        </w:rPr>
        <w:t>porate governance requirements would be a</w:t>
      </w:r>
      <w:r>
        <w:rPr>
          <w:rFonts w:ascii="Times New Roman" w:hAnsi="Times New Roman"/>
        </w:rPr>
        <w:t>n</w:t>
      </w:r>
      <w:r w:rsidRPr="004E41CF">
        <w:rPr>
          <w:rFonts w:ascii="Times New Roman" w:hAnsi="Times New Roman"/>
        </w:rPr>
        <w:t xml:space="preserve"> interesting inquiry, it is beyond the scope of our current paper.</w:t>
      </w:r>
    </w:p>
  </w:footnote>
  <w:footnote w:id="15">
    <w:p w:rsidR="00E30193" w:rsidRDefault="00E30193" w:rsidP="006D0625">
      <w:pPr>
        <w:jc w:val="both"/>
      </w:pPr>
      <w:r w:rsidRPr="00352092">
        <w:rPr>
          <w:rStyle w:val="FootnoteReference"/>
          <w:sz w:val="20"/>
        </w:rPr>
        <w:footnoteRef/>
      </w:r>
      <w:r w:rsidRPr="00614650">
        <w:t xml:space="preserve"> </w:t>
      </w:r>
      <w:r w:rsidRPr="00871040">
        <w:rPr>
          <w:sz w:val="20"/>
          <w:szCs w:val="20"/>
        </w:rPr>
        <w:t xml:space="preserve">Although the sample period we use in the main analysis ends in 2007, table 1 includes data for the years 2008 and 2009 as well. We present these data to address two possible concerns: (1) the segment firms might have backed away from enhanced disclosure and reporting quality when they were no longer trying to distinguish themselves from the non-segment firms; and/or (2) the difference between the two groups might have disappeared when all firms faced the same requirements after the dissolution of the NextPrime and NextEconomy segments. The data for 2008 and 2009 indicate that the segment firms did not renege on their commitment for improved reporting and that the difference between them and non-segment firms persisted. </w:t>
      </w:r>
      <w:r w:rsidRPr="001610D0">
        <w:rPr>
          <w:sz w:val="20"/>
          <w:szCs w:val="20"/>
        </w:rPr>
        <w:t xml:space="preserve"> </w:t>
      </w:r>
      <w:r>
        <w:rPr>
          <w:sz w:val="20"/>
          <w:szCs w:val="20"/>
        </w:rPr>
        <w:t>Financial reporting and transparency improved</w:t>
      </w:r>
      <w:r w:rsidRPr="001610D0">
        <w:rPr>
          <w:sz w:val="20"/>
          <w:szCs w:val="20"/>
        </w:rPr>
        <w:t xml:space="preserve"> for non-segment firms in both years but never reache</w:t>
      </w:r>
      <w:r>
        <w:rPr>
          <w:sz w:val="20"/>
          <w:szCs w:val="20"/>
        </w:rPr>
        <w:t>d</w:t>
      </w:r>
      <w:r w:rsidRPr="001610D0">
        <w:rPr>
          <w:sz w:val="20"/>
          <w:szCs w:val="20"/>
        </w:rPr>
        <w:t xml:space="preserve"> the segment firms</w:t>
      </w:r>
      <w:r>
        <w:rPr>
          <w:sz w:val="20"/>
          <w:szCs w:val="20"/>
        </w:rPr>
        <w:t>' levels</w:t>
      </w:r>
      <w:r w:rsidRPr="001610D0">
        <w:rPr>
          <w:sz w:val="20"/>
          <w:szCs w:val="20"/>
        </w:rPr>
        <w:t xml:space="preserve">. </w:t>
      </w:r>
    </w:p>
  </w:footnote>
  <w:footnote w:id="16">
    <w:p w:rsidR="00E30193" w:rsidRPr="007A59C8" w:rsidRDefault="00E30193" w:rsidP="006D0625">
      <w:pPr>
        <w:pStyle w:val="FootnoteText"/>
        <w:jc w:val="both"/>
        <w:rPr>
          <w:rFonts w:ascii="Times New Roman" w:hAnsi="Times New Roman"/>
        </w:rPr>
      </w:pPr>
      <w:r w:rsidRPr="007A59C8">
        <w:rPr>
          <w:rStyle w:val="FootnoteReference"/>
          <w:rFonts w:ascii="Times New Roman" w:hAnsi="Times New Roman"/>
        </w:rPr>
        <w:footnoteRef/>
      </w:r>
      <w:r w:rsidRPr="007A59C8">
        <w:rPr>
          <w:rFonts w:ascii="Times New Roman" w:hAnsi="Times New Roman"/>
        </w:rPr>
        <w:t xml:space="preserve"> </w:t>
      </w:r>
      <w:r>
        <w:rPr>
          <w:rFonts w:ascii="Times New Roman" w:hAnsi="Times New Roman"/>
        </w:rPr>
        <w:t xml:space="preserve">The percentage of segment and non-segment firms with global auditors reported in table 1 is greater than the one included as part of the descriptive statistics in panel C of table 3. We attribute the difference to three possible reasons: (1) mistakes in the </w:t>
      </w:r>
      <w:proofErr w:type="spellStart"/>
      <w:r>
        <w:rPr>
          <w:rFonts w:ascii="Times New Roman" w:hAnsi="Times New Roman"/>
        </w:rPr>
        <w:t>WorldScope</w:t>
      </w:r>
      <w:proofErr w:type="spellEnd"/>
      <w:r>
        <w:rPr>
          <w:rFonts w:ascii="Times New Roman" w:hAnsi="Times New Roman"/>
        </w:rPr>
        <w:t xml:space="preserve"> database (</w:t>
      </w:r>
      <w:proofErr w:type="spellStart"/>
      <w:r>
        <w:rPr>
          <w:rFonts w:ascii="Times New Roman" w:hAnsi="Times New Roman"/>
        </w:rPr>
        <w:t>Daske</w:t>
      </w:r>
      <w:proofErr w:type="spellEnd"/>
      <w:r>
        <w:rPr>
          <w:rFonts w:ascii="Times New Roman" w:hAnsi="Times New Roman"/>
        </w:rPr>
        <w:t xml:space="preserve"> et al. </w:t>
      </w:r>
      <w:r w:rsidR="00AB27B6">
        <w:rPr>
          <w:rFonts w:ascii="Times New Roman" w:hAnsi="Times New Roman"/>
        </w:rPr>
        <w:t>2013</w:t>
      </w:r>
      <w:r>
        <w:rPr>
          <w:rFonts w:ascii="Times New Roman" w:hAnsi="Times New Roman"/>
        </w:rPr>
        <w:t xml:space="preserve">); (2) the lack of time-specific data on auditors in </w:t>
      </w:r>
      <w:proofErr w:type="spellStart"/>
      <w:r>
        <w:rPr>
          <w:rFonts w:ascii="Times New Roman" w:hAnsi="Times New Roman"/>
        </w:rPr>
        <w:t>WorldScope</w:t>
      </w:r>
      <w:proofErr w:type="spellEnd"/>
      <w:r>
        <w:rPr>
          <w:rFonts w:ascii="Times New Roman" w:hAnsi="Times New Roman"/>
        </w:rPr>
        <w:t>, in which auditor data are provided for the last reporting period only; and (3) while this section tabulates data on the NextPrime and NextEconomy populations, we remove some firms in the main analysis due to data availability and outlier concerns.</w:t>
      </w:r>
    </w:p>
  </w:footnote>
  <w:footnote w:id="17">
    <w:p w:rsidR="00E30193" w:rsidRPr="00E30193" w:rsidRDefault="00E30193" w:rsidP="006D0625">
      <w:pPr>
        <w:pStyle w:val="FootnoteText"/>
        <w:jc w:val="both"/>
        <w:rPr>
          <w:rFonts w:ascii="Times New Roman" w:hAnsi="Times New Roman"/>
        </w:rPr>
      </w:pPr>
      <w:r w:rsidRPr="00E30193">
        <w:rPr>
          <w:rStyle w:val="FootnoteReference"/>
          <w:rFonts w:ascii="Times New Roman" w:hAnsi="Times New Roman"/>
        </w:rPr>
        <w:footnoteRef/>
      </w:r>
      <w:r w:rsidRPr="00E30193">
        <w:rPr>
          <w:rFonts w:ascii="Times New Roman" w:hAnsi="Times New Roman"/>
        </w:rPr>
        <w:t xml:space="preserve"> This is not entirely surprising, because firms from some EU countries use IFRS for consolidated statements but domestic GAAP for single entity financial statements, and firms from some other EU countries were permitted rather than required to use IFRS from 2005.  Some EU countries granted two-year extensions to at least some firms to comply with the IFRS mandate. See </w:t>
      </w:r>
      <w:proofErr w:type="spellStart"/>
      <w:r w:rsidRPr="00E30193">
        <w:rPr>
          <w:rFonts w:ascii="Times New Roman" w:hAnsi="Times New Roman"/>
        </w:rPr>
        <w:t>Pownall</w:t>
      </w:r>
      <w:proofErr w:type="spellEnd"/>
      <w:r w:rsidRPr="00E30193">
        <w:rPr>
          <w:rFonts w:ascii="Times New Roman" w:hAnsi="Times New Roman"/>
        </w:rPr>
        <w:t xml:space="preserve"> and </w:t>
      </w:r>
      <w:proofErr w:type="spellStart"/>
      <w:r w:rsidRPr="00E30193">
        <w:rPr>
          <w:rFonts w:ascii="Times New Roman" w:hAnsi="Times New Roman"/>
        </w:rPr>
        <w:t>Wieczynska</w:t>
      </w:r>
      <w:proofErr w:type="spellEnd"/>
      <w:r w:rsidRPr="00E30193">
        <w:rPr>
          <w:rFonts w:ascii="Times New Roman" w:hAnsi="Times New Roman"/>
        </w:rPr>
        <w:t xml:space="preserve"> (2013) for data on compliance with the EU IFRS mandate, and also "Implementation of the IAS Regulation (1606/2002) in the EU and EEA" available from the European Commission at http://ec.europa.eu/internal_market/accounting/docs/ias/ias-use-of-options_en.pdf</w:t>
      </w:r>
      <w:r w:rsidRPr="00E30193">
        <w:rPr>
          <w:rFonts w:ascii="Times New Roman" w:hAnsi="Times New Roman"/>
          <w:color w:val="000000"/>
        </w:rPr>
        <w:t>.</w:t>
      </w:r>
    </w:p>
  </w:footnote>
  <w:footnote w:id="18">
    <w:p w:rsidR="00E30193" w:rsidRPr="00E30193" w:rsidRDefault="00E30193" w:rsidP="006D0625">
      <w:pPr>
        <w:pStyle w:val="FootnoteText"/>
        <w:jc w:val="both"/>
        <w:rPr>
          <w:rFonts w:ascii="Times New Roman" w:hAnsi="Times New Roman"/>
        </w:rPr>
      </w:pPr>
      <w:r w:rsidRPr="00E30193">
        <w:rPr>
          <w:rStyle w:val="FootnoteReference"/>
          <w:rFonts w:ascii="Times New Roman" w:hAnsi="Times New Roman"/>
        </w:rPr>
        <w:footnoteRef/>
      </w:r>
      <w:r w:rsidRPr="00E30193">
        <w:rPr>
          <w:rFonts w:ascii="Times New Roman" w:hAnsi="Times New Roman"/>
        </w:rPr>
        <w:t xml:space="preserve"> The European Commission proposed in late 2011 that quarterly reporting ceased to be required for EU firms, in favor of a centralized data repository and enhanced relevance to investors. See European Commission (2011).</w:t>
      </w:r>
    </w:p>
  </w:footnote>
  <w:footnote w:id="19">
    <w:p w:rsidR="00E30193" w:rsidRDefault="00E30193" w:rsidP="006D0625">
      <w:pPr>
        <w:pStyle w:val="FootnoteText"/>
        <w:jc w:val="both"/>
      </w:pPr>
      <w:r w:rsidRPr="00352092">
        <w:rPr>
          <w:rStyle w:val="FootnoteReference"/>
          <w:rFonts w:ascii="Times New Roman" w:hAnsi="Times New Roman"/>
        </w:rPr>
        <w:footnoteRef/>
      </w:r>
      <w:r>
        <w:t xml:space="preserve"> </w:t>
      </w:r>
      <w:r w:rsidRPr="004177E1">
        <w:rPr>
          <w:rFonts w:ascii="Times New Roman" w:hAnsi="Times New Roman"/>
        </w:rPr>
        <w:t xml:space="preserve">The statistics on table 1 should be interpreted as lower bounds on the true underlying distributions of characteristics of segment and non-segment firms for several reasons. First, we may not have captured all available data from financial reports, because Euronext has no central repository for financial reports such as the Edgar database for SEC filings by publicly-traded firms in the U.S. To the extent that </w:t>
      </w:r>
      <w:proofErr w:type="spellStart"/>
      <w:r w:rsidRPr="004177E1">
        <w:rPr>
          <w:rFonts w:ascii="Times New Roman" w:hAnsi="Times New Roman"/>
        </w:rPr>
        <w:t>ThomsonOne</w:t>
      </w:r>
      <w:proofErr w:type="spellEnd"/>
      <w:r w:rsidRPr="004177E1">
        <w:rPr>
          <w:rFonts w:ascii="Times New Roman" w:hAnsi="Times New Roman"/>
        </w:rPr>
        <w:t xml:space="preserve"> is selective in the filings it archives we may have missed primary or secondary reports exhibiting the characteristics for which we were searching. We know that </w:t>
      </w:r>
      <w:proofErr w:type="spellStart"/>
      <w:r w:rsidRPr="004177E1">
        <w:rPr>
          <w:rFonts w:ascii="Times New Roman" w:hAnsi="Times New Roman"/>
        </w:rPr>
        <w:t>ThomsonOne</w:t>
      </w:r>
      <w:proofErr w:type="spellEnd"/>
      <w:r w:rsidRPr="004177E1">
        <w:rPr>
          <w:rFonts w:ascii="Times New Roman" w:hAnsi="Times New Roman"/>
        </w:rPr>
        <w:t xml:space="preserve"> is not an exhaustive enumeration of sample firms' financial reports, because we were able to locate financial reports on firms' websites that were not included in </w:t>
      </w:r>
      <w:proofErr w:type="spellStart"/>
      <w:r w:rsidRPr="004177E1">
        <w:rPr>
          <w:rFonts w:ascii="Times New Roman" w:hAnsi="Times New Roman"/>
        </w:rPr>
        <w:t>ThomsonOne</w:t>
      </w:r>
      <w:proofErr w:type="spellEnd"/>
      <w:r w:rsidRPr="004177E1">
        <w:rPr>
          <w:rFonts w:ascii="Times New Roman" w:hAnsi="Times New Roman"/>
        </w:rPr>
        <w:t xml:space="preserve">. </w:t>
      </w:r>
      <w:r>
        <w:rPr>
          <w:rFonts w:ascii="Times New Roman" w:hAnsi="Times New Roman"/>
        </w:rPr>
        <w:t>Second, o</w:t>
      </w:r>
      <w:r w:rsidRPr="004177E1">
        <w:rPr>
          <w:rFonts w:ascii="Times New Roman" w:hAnsi="Times New Roman"/>
        </w:rPr>
        <w:t>ur search of companies' websites was comprehensive but there can be no guarantee that we discovered financial reports when they were included on the website because of differences in the formats and structure of the individual websites. Finally, because the implementation of the switch to IFRS was non-routine, we may have missed primary or secondary statements that exhibited the characteristics for which we searched</w:t>
      </w:r>
      <w:r>
        <w:rPr>
          <w:rFonts w:ascii="Times New Roman" w:hAnsi="Times New Roman"/>
        </w:rPr>
        <w:t>.</w:t>
      </w:r>
    </w:p>
  </w:footnote>
  <w:footnote w:id="20">
    <w:p w:rsidR="00E30193" w:rsidRPr="002E4A2D" w:rsidRDefault="00E30193" w:rsidP="006D0625">
      <w:pPr>
        <w:pStyle w:val="FootnoteText"/>
        <w:jc w:val="both"/>
        <w:rPr>
          <w:rFonts w:ascii="Times New Roman" w:hAnsi="Times New Roman"/>
        </w:rPr>
      </w:pPr>
      <w:r w:rsidRPr="00352092">
        <w:rPr>
          <w:rStyle w:val="FootnoteReference"/>
          <w:rFonts w:ascii="Times New Roman" w:hAnsi="Times New Roman"/>
        </w:rPr>
        <w:footnoteRef/>
      </w:r>
      <w:r w:rsidRPr="002E4A2D">
        <w:rPr>
          <w:rFonts w:ascii="Times New Roman" w:hAnsi="Times New Roman"/>
        </w:rPr>
        <w:t xml:space="preserve"> See </w:t>
      </w:r>
      <w:proofErr w:type="spellStart"/>
      <w:r w:rsidRPr="002E4A2D">
        <w:rPr>
          <w:rFonts w:ascii="Times New Roman" w:hAnsi="Times New Roman"/>
        </w:rPr>
        <w:t>Pownall</w:t>
      </w:r>
      <w:proofErr w:type="spellEnd"/>
      <w:r w:rsidRPr="002E4A2D">
        <w:rPr>
          <w:rFonts w:ascii="Times New Roman" w:hAnsi="Times New Roman"/>
        </w:rPr>
        <w:t xml:space="preserve">, </w:t>
      </w:r>
      <w:proofErr w:type="spellStart"/>
      <w:r w:rsidRPr="002E4A2D">
        <w:rPr>
          <w:rFonts w:ascii="Times New Roman" w:hAnsi="Times New Roman"/>
        </w:rPr>
        <w:t>Vulcheva</w:t>
      </w:r>
      <w:proofErr w:type="spellEnd"/>
      <w:r w:rsidRPr="002E4A2D">
        <w:rPr>
          <w:rFonts w:ascii="Times New Roman" w:hAnsi="Times New Roman"/>
        </w:rPr>
        <w:t>, and Wang (201</w:t>
      </w:r>
      <w:r>
        <w:rPr>
          <w:rFonts w:ascii="Times New Roman" w:hAnsi="Times New Roman"/>
        </w:rPr>
        <w:t>3</w:t>
      </w:r>
      <w:r w:rsidRPr="002E4A2D">
        <w:rPr>
          <w:rFonts w:ascii="Times New Roman" w:hAnsi="Times New Roman"/>
        </w:rPr>
        <w:t>) for an analysis of changes in Home Bias among EU firms following the establishment of Euronext with its integrated trading platform and named segments.</w:t>
      </w:r>
    </w:p>
  </w:footnote>
  <w:footnote w:id="21">
    <w:p w:rsidR="00E30193" w:rsidRPr="002942DF" w:rsidRDefault="00E30193" w:rsidP="006D0625">
      <w:pPr>
        <w:pStyle w:val="FootnoteText"/>
        <w:jc w:val="both"/>
        <w:rPr>
          <w:rFonts w:ascii="Times New Roman" w:hAnsi="Times New Roman"/>
        </w:rPr>
      </w:pPr>
      <w:r w:rsidRPr="00352092">
        <w:rPr>
          <w:rStyle w:val="FootnoteReference"/>
          <w:rFonts w:ascii="Times New Roman" w:hAnsi="Times New Roman"/>
        </w:rPr>
        <w:footnoteRef/>
      </w:r>
      <w:r>
        <w:rPr>
          <w:rFonts w:ascii="Times New Roman" w:hAnsi="Times New Roman"/>
          <w:color w:val="000000"/>
        </w:rPr>
        <w:t xml:space="preserve"> See also Christensen, Hail, and </w:t>
      </w:r>
      <w:proofErr w:type="spellStart"/>
      <w:r>
        <w:rPr>
          <w:rFonts w:ascii="Times New Roman" w:hAnsi="Times New Roman"/>
          <w:color w:val="000000"/>
        </w:rPr>
        <w:t>Leuz</w:t>
      </w:r>
      <w:proofErr w:type="spellEnd"/>
      <w:r>
        <w:rPr>
          <w:rFonts w:ascii="Times New Roman" w:hAnsi="Times New Roman"/>
          <w:color w:val="000000"/>
        </w:rPr>
        <w:t xml:space="preserve"> (2011) for analysis of cross-country variation in implementation and enforcement for the outcomes of securities regulation in the European Union.</w:t>
      </w:r>
    </w:p>
  </w:footnote>
  <w:footnote w:id="22">
    <w:p w:rsidR="00E30193" w:rsidRPr="00DB0076" w:rsidRDefault="00E30193" w:rsidP="006D0625">
      <w:pPr>
        <w:pStyle w:val="FootnoteText"/>
        <w:jc w:val="both"/>
        <w:rPr>
          <w:rFonts w:ascii="Times New Roman" w:hAnsi="Times New Roman"/>
        </w:rPr>
      </w:pPr>
      <w:r w:rsidRPr="00770D40">
        <w:rPr>
          <w:rStyle w:val="FootnoteReference"/>
          <w:rFonts w:ascii="Times New Roman" w:hAnsi="Times New Roman"/>
        </w:rPr>
        <w:footnoteRef/>
      </w:r>
      <w:r w:rsidRPr="00770D40">
        <w:rPr>
          <w:rFonts w:ascii="Times New Roman" w:hAnsi="Times New Roman"/>
        </w:rPr>
        <w:t xml:space="preserve"> </w:t>
      </w:r>
      <w:r w:rsidRPr="00DB0076">
        <w:rPr>
          <w:rFonts w:ascii="Times New Roman" w:hAnsi="Times New Roman"/>
        </w:rPr>
        <w:t>We are unable to</w:t>
      </w:r>
      <w:r>
        <w:rPr>
          <w:rFonts w:ascii="Times New Roman" w:hAnsi="Times New Roman"/>
        </w:rPr>
        <w:t xml:space="preserve"> construct a complete time series of enforcement proxies.  However, using number of employees involved in enforcement (one of Jackson and Roe's 2009 alternate proxies), we find that enforcement has increased materially in Brussels (from 259 in 2001 to 408 in 2004, the last year for which data are available) and Amsterdam (from 139 in 2000 to 446 in 2007), but has remained fairly constant in Paris (595-600) and Lisbon (170-172).  </w:t>
      </w:r>
      <w:proofErr w:type="gramStart"/>
      <w:r>
        <w:rPr>
          <w:rFonts w:ascii="Times New Roman" w:hAnsi="Times New Roman"/>
        </w:rPr>
        <w:t xml:space="preserve">See </w:t>
      </w:r>
      <w:r w:rsidRPr="002E1D3B">
        <w:rPr>
          <w:rFonts w:ascii="Times New Roman" w:hAnsi="Times New Roman"/>
          <w:color w:val="000000"/>
        </w:rPr>
        <w:t>Ce</w:t>
      </w:r>
      <w:r>
        <w:rPr>
          <w:rFonts w:ascii="Times New Roman" w:hAnsi="Times New Roman"/>
          <w:color w:val="000000"/>
        </w:rPr>
        <w:t>ntral Banking Publications Ltd. (</w:t>
      </w:r>
      <w:r w:rsidRPr="002E1D3B">
        <w:rPr>
          <w:rFonts w:ascii="Times New Roman" w:hAnsi="Times New Roman"/>
          <w:color w:val="000000"/>
        </w:rPr>
        <w:t>2008</w:t>
      </w:r>
      <w:r>
        <w:rPr>
          <w:rFonts w:ascii="Times New Roman" w:hAnsi="Times New Roman"/>
          <w:color w:val="000000"/>
        </w:rPr>
        <w:t>)</w:t>
      </w:r>
      <w:r w:rsidRPr="002E1D3B">
        <w:rPr>
          <w:rFonts w:ascii="Times New Roman" w:hAnsi="Times New Roman"/>
          <w:color w:val="000000"/>
        </w:rPr>
        <w:t xml:space="preserve"> </w:t>
      </w:r>
      <w:r>
        <w:rPr>
          <w:rFonts w:ascii="Times New Roman" w:hAnsi="Times New Roman"/>
        </w:rPr>
        <w:t>for more details.</w:t>
      </w:r>
      <w:proofErr w:type="gramEnd"/>
      <w:r>
        <w:rPr>
          <w:rFonts w:ascii="Times New Roman" w:hAnsi="Times New Roman"/>
        </w:rPr>
        <w:t xml:space="preserve">  </w:t>
      </w:r>
    </w:p>
  </w:footnote>
  <w:footnote w:id="23">
    <w:p w:rsidR="00E30193" w:rsidRPr="00E51CC2" w:rsidRDefault="00E30193" w:rsidP="00E51CC2">
      <w:pPr>
        <w:pStyle w:val="FootnoteText"/>
        <w:jc w:val="both"/>
        <w:rPr>
          <w:rFonts w:ascii="Times New Roman" w:hAnsi="Times New Roman"/>
        </w:rPr>
      </w:pPr>
      <w:r w:rsidRPr="00352092">
        <w:rPr>
          <w:rStyle w:val="FootnoteReference"/>
          <w:rFonts w:ascii="Times New Roman" w:hAnsi="Times New Roman"/>
        </w:rPr>
        <w:footnoteRef/>
      </w:r>
      <w:r>
        <w:t xml:space="preserve"> </w:t>
      </w:r>
      <w:r w:rsidRPr="00E51CC2">
        <w:rPr>
          <w:rFonts w:ascii="Times New Roman" w:hAnsi="Times New Roman"/>
        </w:rPr>
        <w:t>It would be interesting to conduct a cross-sectional test based on the dimension of jurisdiction quality.  However, the existing enforcement measures and classifications suggest that differences in enforcement do exist, but there is not a consensus on the relative levels of jurisdiction quality in the four Euronext countries. It is beyond the scope of the current paper to establish how different enforcement was at the time of the Euronext integration or how the four countries ranked based on their enforcement levels.</w:t>
      </w:r>
    </w:p>
  </w:footnote>
  <w:footnote w:id="24">
    <w:p w:rsidR="00E30193" w:rsidRDefault="00E30193" w:rsidP="006D0625">
      <w:pPr>
        <w:pStyle w:val="FootnoteText"/>
        <w:jc w:val="both"/>
      </w:pPr>
      <w:r w:rsidRPr="00352092">
        <w:rPr>
          <w:rStyle w:val="FootnoteReference"/>
          <w:rFonts w:ascii="Times New Roman" w:hAnsi="Times New Roman"/>
        </w:rPr>
        <w:footnoteRef/>
      </w:r>
      <w:r>
        <w:t xml:space="preserve"> </w:t>
      </w:r>
      <w:r>
        <w:rPr>
          <w:rFonts w:ascii="Times New Roman" w:hAnsi="Times New Roman"/>
        </w:rPr>
        <w:t xml:space="preserve">Throughout the paper, we refer to “pre-merger/post-merger period” or “before/after the merger” as the period prior to/after the formation of Euronext, partitioned by </w:t>
      </w:r>
      <w:r w:rsidRPr="00B83121">
        <w:rPr>
          <w:rFonts w:ascii="Times New Roman" w:hAnsi="Times New Roman"/>
        </w:rPr>
        <w:t>the event of achievi</w:t>
      </w:r>
      <w:r>
        <w:rPr>
          <w:rFonts w:ascii="Times New Roman" w:hAnsi="Times New Roman"/>
        </w:rPr>
        <w:t>ng a single cash trading platform</w:t>
      </w:r>
      <w:r w:rsidRPr="00B83121">
        <w:rPr>
          <w:rFonts w:ascii="Times New Roman" w:hAnsi="Times New Roman"/>
        </w:rPr>
        <w:t xml:space="preserve">: while the three exchanges of Amsterdam, Brussels, and Paris began using single cash trading platforms in 2001, the Lisbon exchange joined only in November 2003. </w:t>
      </w:r>
      <w:r>
        <w:rPr>
          <w:rFonts w:ascii="Times New Roman" w:hAnsi="Times New Roman"/>
        </w:rPr>
        <w:t>Therefore, “pre-merger periods”</w:t>
      </w:r>
      <w:r w:rsidRPr="00282350">
        <w:rPr>
          <w:rFonts w:ascii="Times New Roman" w:hAnsi="Times New Roman"/>
        </w:rPr>
        <w:t xml:space="preserve"> are between 1993 and 2001 for firms listed on the Amsterdam, Brussels, and Paris Exchanges and between 1993 and 2003 for firms listed on the Lisbon Exchange, and </w:t>
      </w:r>
      <w:r>
        <w:rPr>
          <w:rFonts w:ascii="Times New Roman" w:hAnsi="Times New Roman"/>
        </w:rPr>
        <w:t>“</w:t>
      </w:r>
      <w:r w:rsidRPr="00282350">
        <w:rPr>
          <w:rFonts w:ascii="Times New Roman" w:hAnsi="Times New Roman"/>
        </w:rPr>
        <w:t>post-merger periods</w:t>
      </w:r>
      <w:r>
        <w:rPr>
          <w:rFonts w:ascii="Times New Roman" w:hAnsi="Times New Roman"/>
        </w:rPr>
        <w:t>”</w:t>
      </w:r>
      <w:r w:rsidRPr="00282350">
        <w:rPr>
          <w:rFonts w:ascii="Times New Roman" w:hAnsi="Times New Roman"/>
        </w:rPr>
        <w:t xml:space="preserve"> are between 2002 and 2007 for firms listed on the Amsterdam, Brussels, and Paris Exchanges and between 2004 and 2007 for firms listed on the Lisbon Exchange</w:t>
      </w:r>
      <w:r>
        <w:rPr>
          <w:rFonts w:ascii="Times New Roman" w:hAnsi="Times New Roman"/>
        </w:rPr>
        <w:t>.</w:t>
      </w:r>
    </w:p>
  </w:footnote>
  <w:footnote w:id="25">
    <w:p w:rsidR="00E30193" w:rsidRPr="00B83121" w:rsidRDefault="00E30193" w:rsidP="00D12058">
      <w:pPr>
        <w:pStyle w:val="FootnoteText"/>
        <w:jc w:val="both"/>
        <w:rPr>
          <w:rFonts w:ascii="Times New Roman" w:hAnsi="Times New Roman"/>
        </w:rPr>
      </w:pPr>
      <w:r w:rsidRPr="00B83121">
        <w:rPr>
          <w:rStyle w:val="FootnoteReference"/>
          <w:rFonts w:ascii="Times New Roman" w:hAnsi="Times New Roman"/>
        </w:rPr>
        <w:footnoteRef/>
      </w:r>
      <w:r w:rsidRPr="00B83121">
        <w:rPr>
          <w:rFonts w:ascii="Times New Roman" w:hAnsi="Times New Roman"/>
        </w:rPr>
        <w:t xml:space="preserve"> </w:t>
      </w:r>
      <w:r w:rsidRPr="00B83121">
        <w:rPr>
          <w:rFonts w:ascii="Times New Roman" w:hAnsi="Times New Roman"/>
          <w:color w:val="000000"/>
        </w:rPr>
        <w:t xml:space="preserve">We </w:t>
      </w:r>
      <w:r w:rsidRPr="00B83121">
        <w:rPr>
          <w:rFonts w:ascii="Times New Roman" w:hAnsi="Times New Roman"/>
        </w:rPr>
        <w:t xml:space="preserve">limit our analysis to domestic firms </w:t>
      </w:r>
      <w:r>
        <w:rPr>
          <w:rFonts w:ascii="Times New Roman" w:hAnsi="Times New Roman"/>
        </w:rPr>
        <w:t>because</w:t>
      </w:r>
      <w:r w:rsidRPr="00B83121">
        <w:rPr>
          <w:rFonts w:ascii="Times New Roman" w:hAnsi="Times New Roman"/>
        </w:rPr>
        <w:t xml:space="preserve"> we believe </w:t>
      </w:r>
      <w:r>
        <w:rPr>
          <w:rFonts w:ascii="Times New Roman" w:hAnsi="Times New Roman"/>
        </w:rPr>
        <w:t xml:space="preserve">that </w:t>
      </w:r>
      <w:r w:rsidRPr="00B83121">
        <w:rPr>
          <w:rFonts w:ascii="Times New Roman" w:hAnsi="Times New Roman"/>
        </w:rPr>
        <w:t>their incentives might differ from those of cross-listed</w:t>
      </w:r>
      <w:r>
        <w:rPr>
          <w:rFonts w:ascii="Times New Roman" w:hAnsi="Times New Roman"/>
        </w:rPr>
        <w:t xml:space="preserve"> foreign</w:t>
      </w:r>
      <w:r w:rsidRPr="00B83121">
        <w:rPr>
          <w:rFonts w:ascii="Times New Roman" w:hAnsi="Times New Roman"/>
        </w:rPr>
        <w:t xml:space="preserve"> firms</w:t>
      </w:r>
      <w:r>
        <w:rPr>
          <w:rFonts w:ascii="Times New Roman" w:hAnsi="Times New Roman"/>
        </w:rPr>
        <w:t xml:space="preserve">. See table 2 for </w:t>
      </w:r>
      <w:r>
        <w:rPr>
          <w:rFonts w:ascii="Times New Roman" w:hAnsi="Times New Roman"/>
          <w:color w:val="000000"/>
        </w:rPr>
        <w:t>variable definitions and data sources</w:t>
      </w:r>
      <w:r w:rsidRPr="00B83121">
        <w:rPr>
          <w:rFonts w:ascii="Times New Roman" w:hAnsi="Times New Roman"/>
          <w:color w:val="000000"/>
        </w:rPr>
        <w:t xml:space="preserve"> for all analyses</w:t>
      </w:r>
      <w:r>
        <w:rPr>
          <w:rFonts w:ascii="Times New Roman" w:hAnsi="Times New Roman"/>
          <w:color w:val="000000"/>
        </w:rPr>
        <w:t>.</w:t>
      </w:r>
    </w:p>
  </w:footnote>
  <w:footnote w:id="26">
    <w:p w:rsidR="00E30193" w:rsidRPr="00A85875" w:rsidRDefault="00E30193" w:rsidP="0006535B">
      <w:pPr>
        <w:pStyle w:val="FootnoteText"/>
        <w:jc w:val="both"/>
        <w:rPr>
          <w:rFonts w:ascii="Times New Roman" w:hAnsi="Times New Roman"/>
        </w:rPr>
      </w:pPr>
      <w:r w:rsidRPr="00352092">
        <w:rPr>
          <w:rStyle w:val="FootnoteReference"/>
          <w:rFonts w:ascii="Times New Roman" w:hAnsi="Times New Roman"/>
        </w:rPr>
        <w:footnoteRef/>
      </w:r>
      <w:r>
        <w:t xml:space="preserve"> </w:t>
      </w:r>
      <w:r w:rsidRPr="00A85875">
        <w:rPr>
          <w:rFonts w:ascii="Times New Roman" w:hAnsi="Times New Roman"/>
        </w:rPr>
        <w:t xml:space="preserve">A database on the listing and delisting dates for the companies from the four exchanges provided by </w:t>
      </w:r>
      <w:proofErr w:type="spellStart"/>
      <w:r w:rsidRPr="00A85875">
        <w:rPr>
          <w:rFonts w:ascii="Times New Roman" w:hAnsi="Times New Roman"/>
        </w:rPr>
        <w:t>ThomsonOne</w:t>
      </w:r>
      <w:proofErr w:type="spellEnd"/>
      <w:r w:rsidRPr="00A85875">
        <w:rPr>
          <w:rFonts w:ascii="Times New Roman" w:hAnsi="Times New Roman"/>
        </w:rPr>
        <w:t xml:space="preserve"> Banker indicates that the majority of firms </w:t>
      </w:r>
      <w:r>
        <w:rPr>
          <w:rFonts w:ascii="Times New Roman" w:hAnsi="Times New Roman"/>
        </w:rPr>
        <w:t xml:space="preserve">without </w:t>
      </w:r>
      <w:r w:rsidRPr="00A85875">
        <w:rPr>
          <w:rFonts w:ascii="Times New Roman" w:hAnsi="Times New Roman"/>
        </w:rPr>
        <w:t xml:space="preserve">post-merger data delisted during the period prior to the Euronext merger or within a couple of years following the merger. Likewise, </w:t>
      </w:r>
      <w:r>
        <w:rPr>
          <w:rFonts w:ascii="Times New Roman" w:hAnsi="Times New Roman"/>
        </w:rPr>
        <w:t>most</w:t>
      </w:r>
      <w:r w:rsidRPr="00A85875">
        <w:rPr>
          <w:rFonts w:ascii="Times New Roman" w:hAnsi="Times New Roman"/>
        </w:rPr>
        <w:t xml:space="preserve"> firms that lack pre-merger data </w:t>
      </w:r>
      <w:r>
        <w:rPr>
          <w:rFonts w:ascii="Times New Roman" w:hAnsi="Times New Roman"/>
        </w:rPr>
        <w:t xml:space="preserve">were newly </w:t>
      </w:r>
      <w:r w:rsidRPr="00A85875">
        <w:rPr>
          <w:rFonts w:ascii="Times New Roman" w:hAnsi="Times New Roman"/>
        </w:rPr>
        <w:t xml:space="preserve">listed in the period 2002–2007. Thus, excluding these </w:t>
      </w:r>
      <w:proofErr w:type="gramStart"/>
      <w:r w:rsidRPr="00A85875">
        <w:rPr>
          <w:rFonts w:ascii="Times New Roman" w:hAnsi="Times New Roman"/>
        </w:rPr>
        <w:t>firms</w:t>
      </w:r>
      <w:proofErr w:type="gramEnd"/>
      <w:r w:rsidRPr="00A85875">
        <w:rPr>
          <w:rFonts w:ascii="Times New Roman" w:hAnsi="Times New Roman"/>
        </w:rPr>
        <w:t xml:space="preserve"> accounts for a change in the exchange population rather than for missing data in </w:t>
      </w:r>
      <w:proofErr w:type="spellStart"/>
      <w:r w:rsidRPr="00A85875">
        <w:rPr>
          <w:rFonts w:ascii="Times New Roman" w:hAnsi="Times New Roman"/>
        </w:rPr>
        <w:t>Worldscope</w:t>
      </w:r>
      <w:proofErr w:type="spellEnd"/>
      <w:r w:rsidRPr="00A85875">
        <w:rPr>
          <w:rFonts w:ascii="Times New Roman" w:hAnsi="Times New Roman"/>
        </w:rPr>
        <w:t xml:space="preserve"> and/or </w:t>
      </w:r>
      <w:proofErr w:type="spellStart"/>
      <w:r w:rsidRPr="00A85875">
        <w:rPr>
          <w:rFonts w:ascii="Times New Roman" w:hAnsi="Times New Roman"/>
        </w:rPr>
        <w:t>Datastream</w:t>
      </w:r>
      <w:proofErr w:type="spellEnd"/>
      <w:r w:rsidRPr="00A85875">
        <w:rPr>
          <w:rFonts w:ascii="Times New Roman" w:hAnsi="Times New Roman"/>
        </w:rPr>
        <w:t>.</w:t>
      </w:r>
    </w:p>
  </w:footnote>
  <w:footnote w:id="27">
    <w:p w:rsidR="00E30193" w:rsidRDefault="00E30193" w:rsidP="006D0625">
      <w:pPr>
        <w:jc w:val="both"/>
      </w:pPr>
      <w:r w:rsidRPr="00E30193">
        <w:rPr>
          <w:rStyle w:val="FootnoteReference"/>
          <w:sz w:val="20"/>
          <w:szCs w:val="20"/>
        </w:rPr>
        <w:footnoteRef/>
      </w:r>
      <w:r w:rsidRPr="00E30193">
        <w:rPr>
          <w:sz w:val="20"/>
          <w:szCs w:val="20"/>
        </w:rPr>
        <w:t>In the process of integrating the four stock exchanges, decimalization or reduction of tick sizes might also result in increased liquidity (i.e. lower bid-ask spreads). However, we believe that decimalization is not an alternative explanation for our findings because: (1) the earliest decimalization we found was conducted by NYSE Euronext in 2008 and therefore outside of our sample period 1993–2007 (Euronext Cash Market Info-flash</w:t>
      </w:r>
      <w:r w:rsidRPr="00E30193">
        <w:rPr>
          <w:rStyle w:val="Strong"/>
          <w:rFonts w:eastAsia="Calibri"/>
          <w:b w:val="0"/>
          <w:sz w:val="20"/>
          <w:szCs w:val="20"/>
        </w:rPr>
        <w:t xml:space="preserve">, </w:t>
      </w:r>
      <w:hyperlink r:id="rId1" w:history="1">
        <w:r w:rsidRPr="00E30193">
          <w:rPr>
            <w:rStyle w:val="Hyperlink"/>
            <w:sz w:val="20"/>
            <w:szCs w:val="20"/>
          </w:rPr>
          <w:t>http://www.euronext.com/</w:t>
        </w:r>
      </w:hyperlink>
      <w:r w:rsidRPr="00E30193">
        <w:rPr>
          <w:rStyle w:val="Strong"/>
          <w:rFonts w:eastAsia="Calibri"/>
          <w:b w:val="0"/>
          <w:sz w:val="20"/>
          <w:szCs w:val="20"/>
        </w:rPr>
        <w:t>fic/000/036/646/ 366467.pdf);</w:t>
      </w:r>
      <w:r w:rsidRPr="00E30193">
        <w:rPr>
          <w:rStyle w:val="Strong"/>
          <w:rFonts w:eastAsia="Calibri"/>
          <w:sz w:val="20"/>
          <w:szCs w:val="20"/>
        </w:rPr>
        <w:t xml:space="preserve"> </w:t>
      </w:r>
      <w:r w:rsidRPr="00E30193">
        <w:rPr>
          <w:rStyle w:val="Strong"/>
          <w:rFonts w:eastAsia="Calibri"/>
          <w:b w:val="0"/>
          <w:sz w:val="20"/>
          <w:szCs w:val="20"/>
        </w:rPr>
        <w:t>and (2) even if we are unaware of an earlier wave of decimalization that took place during our sample period, we would expect such wave to affect all securities on Euronext to a similar extent.  In contrast, our results indicate that liquidity improved only for segment firms after the merger, but not for non-segment firms</w:t>
      </w:r>
      <w:r w:rsidRPr="00BE35D4">
        <w:rPr>
          <w:rStyle w:val="Strong"/>
          <w:rFonts w:eastAsia="Calibri"/>
          <w:b w:val="0"/>
          <w:sz w:val="20"/>
          <w:szCs w:val="20"/>
        </w:rPr>
        <w:t>.</w:t>
      </w:r>
      <w:r w:rsidRPr="00BD2C87">
        <w:rPr>
          <w:rStyle w:val="Strong"/>
          <w:rFonts w:eastAsia="Calibri"/>
          <w:b w:val="0"/>
        </w:rPr>
        <w:t xml:space="preserve"> </w:t>
      </w:r>
      <w:r w:rsidRPr="00BD2C87">
        <w:t xml:space="preserve">  </w:t>
      </w:r>
    </w:p>
  </w:footnote>
  <w:footnote w:id="28">
    <w:p w:rsidR="00E30193" w:rsidRPr="001450A3" w:rsidRDefault="00E30193" w:rsidP="006D0625">
      <w:pPr>
        <w:pStyle w:val="FootnoteText"/>
        <w:jc w:val="both"/>
        <w:rPr>
          <w:rFonts w:ascii="Times New Roman" w:hAnsi="Times New Roman"/>
        </w:rPr>
      </w:pPr>
      <w:r w:rsidRPr="00352092">
        <w:rPr>
          <w:rStyle w:val="FootnoteReference"/>
          <w:rFonts w:ascii="Times New Roman" w:hAnsi="Times New Roman"/>
        </w:rPr>
        <w:footnoteRef/>
      </w:r>
      <w:r w:rsidRPr="00352092">
        <w:rPr>
          <w:rFonts w:ascii="Times New Roman" w:hAnsi="Times New Roman"/>
        </w:rPr>
        <w:t xml:space="preserve"> </w:t>
      </w:r>
      <w:r w:rsidRPr="001450A3">
        <w:rPr>
          <w:rFonts w:ascii="Times New Roman" w:hAnsi="Times New Roman"/>
        </w:rPr>
        <w:t xml:space="preserve">See </w:t>
      </w:r>
      <w:proofErr w:type="spellStart"/>
      <w:r w:rsidRPr="001450A3">
        <w:rPr>
          <w:rFonts w:ascii="Times New Roman" w:hAnsi="Times New Roman"/>
        </w:rPr>
        <w:t>Vagias</w:t>
      </w:r>
      <w:proofErr w:type="spellEnd"/>
      <w:r w:rsidRPr="001450A3">
        <w:rPr>
          <w:rFonts w:ascii="Times New Roman" w:hAnsi="Times New Roman"/>
        </w:rPr>
        <w:t xml:space="preserve"> and van </w:t>
      </w:r>
      <w:proofErr w:type="spellStart"/>
      <w:r w:rsidRPr="001450A3">
        <w:rPr>
          <w:rFonts w:ascii="Times New Roman" w:hAnsi="Times New Roman"/>
        </w:rPr>
        <w:t>Dijk</w:t>
      </w:r>
      <w:proofErr w:type="spellEnd"/>
      <w:r w:rsidRPr="001450A3">
        <w:rPr>
          <w:rFonts w:ascii="Times New Roman" w:hAnsi="Times New Roman"/>
        </w:rPr>
        <w:t xml:space="preserve"> (</w:t>
      </w:r>
      <w:r w:rsidR="00AB27B6" w:rsidRPr="001450A3">
        <w:rPr>
          <w:rFonts w:ascii="Times New Roman" w:hAnsi="Times New Roman"/>
        </w:rPr>
        <w:t>201</w:t>
      </w:r>
      <w:r w:rsidR="00AB27B6">
        <w:rPr>
          <w:rFonts w:ascii="Times New Roman" w:hAnsi="Times New Roman"/>
        </w:rPr>
        <w:t>2</w:t>
      </w:r>
      <w:r w:rsidRPr="001450A3">
        <w:rPr>
          <w:rFonts w:ascii="Times New Roman" w:hAnsi="Times New Roman"/>
        </w:rPr>
        <w:t>) for further evidence and discussion of the decreased liquidity for European firms during this time period.</w:t>
      </w:r>
    </w:p>
  </w:footnote>
  <w:footnote w:id="29">
    <w:p w:rsidR="00E30193" w:rsidRPr="006B2FEB" w:rsidRDefault="00E30193" w:rsidP="006B2FEB">
      <w:pPr>
        <w:pStyle w:val="FootnoteText"/>
        <w:jc w:val="both"/>
        <w:rPr>
          <w:rFonts w:ascii="Times New Roman" w:hAnsi="Times New Roman"/>
        </w:rPr>
      </w:pPr>
      <w:r w:rsidRPr="00352092">
        <w:rPr>
          <w:rStyle w:val="FootnoteReference"/>
          <w:rFonts w:ascii="Times New Roman" w:hAnsi="Times New Roman"/>
        </w:rPr>
        <w:footnoteRef/>
      </w:r>
      <w:r>
        <w:t xml:space="preserve"> </w:t>
      </w:r>
      <w:r w:rsidRPr="006B2FEB">
        <w:rPr>
          <w:rFonts w:ascii="Times New Roman" w:hAnsi="Times New Roman"/>
        </w:rPr>
        <w:t>Roberts and Whited (</w:t>
      </w:r>
      <w:r w:rsidR="00AB27B6" w:rsidRPr="006B2FEB">
        <w:rPr>
          <w:rFonts w:ascii="Times New Roman" w:hAnsi="Times New Roman"/>
        </w:rPr>
        <w:t>201</w:t>
      </w:r>
      <w:r w:rsidR="00AB27B6">
        <w:rPr>
          <w:rFonts w:ascii="Times New Roman" w:hAnsi="Times New Roman"/>
        </w:rPr>
        <w:t>2</w:t>
      </w:r>
      <w:r w:rsidRPr="006B2FEB">
        <w:rPr>
          <w:rFonts w:ascii="Times New Roman" w:hAnsi="Times New Roman"/>
        </w:rPr>
        <w:t>) suggest that difference-in-differences estimators are</w:t>
      </w:r>
      <w:r>
        <w:rPr>
          <w:rFonts w:ascii="Times New Roman" w:hAnsi="Times New Roman"/>
        </w:rPr>
        <w:t xml:space="preserve"> one </w:t>
      </w:r>
      <w:r w:rsidRPr="006B2FEB">
        <w:rPr>
          <w:rFonts w:ascii="Times New Roman" w:hAnsi="Times New Roman"/>
        </w:rPr>
        <w:t xml:space="preserve">effective </w:t>
      </w:r>
      <w:r>
        <w:rPr>
          <w:rFonts w:ascii="Times New Roman" w:hAnsi="Times New Roman"/>
        </w:rPr>
        <w:t xml:space="preserve">approach </w:t>
      </w:r>
      <w:r w:rsidRPr="006B2FEB">
        <w:rPr>
          <w:rFonts w:ascii="Times New Roman" w:hAnsi="Times New Roman"/>
        </w:rPr>
        <w:t xml:space="preserve">to recover the treatment effects arising from sharp changes in the economic and institutional environment.  We think that the exogenous variation created by a quasi-experiment </w:t>
      </w:r>
      <w:r>
        <w:rPr>
          <w:rFonts w:ascii="Times New Roman" w:hAnsi="Times New Roman"/>
        </w:rPr>
        <w:t xml:space="preserve">such as </w:t>
      </w:r>
      <w:r w:rsidRPr="006B2FEB">
        <w:rPr>
          <w:rFonts w:ascii="Times New Roman" w:hAnsi="Times New Roman"/>
        </w:rPr>
        <w:t>Euronext merger offers a practic</w:t>
      </w:r>
      <w:r>
        <w:rPr>
          <w:rFonts w:ascii="Times New Roman" w:hAnsi="Times New Roman"/>
        </w:rPr>
        <w:t>al</w:t>
      </w:r>
      <w:r w:rsidRPr="006B2FEB">
        <w:rPr>
          <w:rFonts w:ascii="Times New Roman" w:hAnsi="Times New Roman"/>
        </w:rPr>
        <w:t xml:space="preserve"> solution to the </w:t>
      </w:r>
      <w:proofErr w:type="spellStart"/>
      <w:r w:rsidRPr="006B2FEB">
        <w:rPr>
          <w:rFonts w:ascii="Times New Roman" w:hAnsi="Times New Roman"/>
        </w:rPr>
        <w:t>endogeneity</w:t>
      </w:r>
      <w:proofErr w:type="spellEnd"/>
      <w:r w:rsidRPr="006B2FEB">
        <w:rPr>
          <w:rFonts w:ascii="Times New Roman" w:hAnsi="Times New Roman"/>
        </w:rPr>
        <w:t xml:space="preserve"> problem we face (</w:t>
      </w:r>
      <w:r w:rsidR="00763E8B">
        <w:rPr>
          <w:rFonts w:ascii="Times New Roman" w:hAnsi="Times New Roman"/>
        </w:rPr>
        <w:t>i</w:t>
      </w:r>
      <w:r w:rsidRPr="006B2FEB">
        <w:rPr>
          <w:rFonts w:ascii="Times New Roman" w:hAnsi="Times New Roman"/>
        </w:rPr>
        <w:t>.</w:t>
      </w:r>
      <w:r w:rsidR="00763E8B">
        <w:rPr>
          <w:rFonts w:ascii="Times New Roman" w:hAnsi="Times New Roman"/>
        </w:rPr>
        <w:t>e</w:t>
      </w:r>
      <w:r w:rsidRPr="006B2FEB">
        <w:rPr>
          <w:rFonts w:ascii="Times New Roman" w:hAnsi="Times New Roman"/>
        </w:rPr>
        <w:t>.</w:t>
      </w:r>
      <w:r w:rsidR="00763E8B">
        <w:rPr>
          <w:rFonts w:ascii="Times New Roman" w:hAnsi="Times New Roman"/>
        </w:rPr>
        <w:t>,</w:t>
      </w:r>
      <w:r w:rsidRPr="006B2FEB">
        <w:rPr>
          <w:rFonts w:ascii="Times New Roman" w:hAnsi="Times New Roman"/>
        </w:rPr>
        <w:t xml:space="preserve"> correlated omitted variables).  While one standard solution to </w:t>
      </w:r>
      <w:proofErr w:type="spellStart"/>
      <w:r w:rsidRPr="006B2FEB">
        <w:rPr>
          <w:rFonts w:ascii="Times New Roman" w:hAnsi="Times New Roman"/>
        </w:rPr>
        <w:t>endogeneity</w:t>
      </w:r>
      <w:proofErr w:type="spellEnd"/>
      <w:r w:rsidRPr="006B2FEB">
        <w:rPr>
          <w:rFonts w:ascii="Times New Roman" w:hAnsi="Times New Roman"/>
        </w:rPr>
        <w:t xml:space="preserve"> is to have an instrument for the “Segment” indicator, it is difficult to implement in our empirical analyses because </w:t>
      </w:r>
      <w:r>
        <w:rPr>
          <w:rFonts w:ascii="Times New Roman" w:hAnsi="Times New Roman"/>
        </w:rPr>
        <w:t xml:space="preserve">we do not feel confident to identify a valid instrument out of our available data </w:t>
      </w:r>
      <w:r w:rsidRPr="006B2FEB">
        <w:rPr>
          <w:rFonts w:ascii="Times New Roman" w:hAnsi="Times New Roman"/>
        </w:rPr>
        <w:t>(</w:t>
      </w:r>
      <w:r>
        <w:rPr>
          <w:rFonts w:ascii="Times New Roman" w:hAnsi="Times New Roman"/>
        </w:rPr>
        <w:t xml:space="preserve">see also </w:t>
      </w:r>
      <w:r w:rsidRPr="006B2FEB">
        <w:rPr>
          <w:rFonts w:ascii="Times New Roman" w:hAnsi="Times New Roman"/>
        </w:rPr>
        <w:t xml:space="preserve">Roberts and Whited </w:t>
      </w:r>
      <w:r w:rsidR="00AB27B6" w:rsidRPr="006B2FEB">
        <w:rPr>
          <w:rFonts w:ascii="Times New Roman" w:hAnsi="Times New Roman"/>
        </w:rPr>
        <w:t>201</w:t>
      </w:r>
      <w:r w:rsidR="00AB27B6">
        <w:rPr>
          <w:rFonts w:ascii="Times New Roman" w:hAnsi="Times New Roman"/>
        </w:rPr>
        <w:t>2</w:t>
      </w:r>
      <w:r w:rsidRPr="006B2FEB">
        <w:rPr>
          <w:rFonts w:ascii="Times New Roman" w:hAnsi="Times New Roman"/>
        </w:rPr>
        <w:t xml:space="preserve">). </w:t>
      </w:r>
    </w:p>
  </w:footnote>
  <w:footnote w:id="30">
    <w:p w:rsidR="00E30193" w:rsidRPr="001A5A42" w:rsidRDefault="00E30193" w:rsidP="001A5A42">
      <w:pPr>
        <w:pStyle w:val="FootnoteText"/>
        <w:jc w:val="both"/>
        <w:rPr>
          <w:rFonts w:ascii="Times New Roman" w:hAnsi="Times New Roman"/>
        </w:rPr>
      </w:pPr>
      <w:r w:rsidRPr="00352092">
        <w:rPr>
          <w:rStyle w:val="FootnoteReference"/>
          <w:rFonts w:ascii="Times New Roman" w:hAnsi="Times New Roman"/>
        </w:rPr>
        <w:footnoteRef/>
      </w:r>
      <w:r w:rsidRPr="00352092">
        <w:rPr>
          <w:rFonts w:ascii="Times New Roman" w:hAnsi="Times New Roman"/>
        </w:rPr>
        <w:t xml:space="preserve"> </w:t>
      </w:r>
      <w:r w:rsidRPr="001A5A42">
        <w:rPr>
          <w:rFonts w:ascii="Times New Roman" w:hAnsi="Times New Roman"/>
        </w:rPr>
        <w:t>We did not include analyst following in the primary regression model due to the significant loss of data result</w:t>
      </w:r>
      <w:r>
        <w:rPr>
          <w:rFonts w:ascii="Times New Roman" w:hAnsi="Times New Roman"/>
        </w:rPr>
        <w:t>ing</w:t>
      </w:r>
      <w:r w:rsidRPr="001A5A42">
        <w:rPr>
          <w:rFonts w:ascii="Times New Roman" w:hAnsi="Times New Roman"/>
        </w:rPr>
        <w:t xml:space="preserve"> </w:t>
      </w:r>
      <w:r>
        <w:rPr>
          <w:rFonts w:ascii="Times New Roman" w:hAnsi="Times New Roman"/>
        </w:rPr>
        <w:t>from</w:t>
      </w:r>
      <w:r w:rsidRPr="001A5A42">
        <w:rPr>
          <w:rFonts w:ascii="Times New Roman" w:hAnsi="Times New Roman"/>
        </w:rPr>
        <w:t xml:space="preserve"> merg</w:t>
      </w:r>
      <w:r>
        <w:rPr>
          <w:rFonts w:ascii="Times New Roman" w:hAnsi="Times New Roman"/>
        </w:rPr>
        <w:t>ing our financial reporting and market data</w:t>
      </w:r>
      <w:r w:rsidRPr="001A5A42">
        <w:rPr>
          <w:rFonts w:ascii="Times New Roman" w:hAnsi="Times New Roman"/>
        </w:rPr>
        <w:t xml:space="preserve"> with the IBES database. We conducted a sensitivity analysis to include analyst following as an additional control but on a reduced sample</w:t>
      </w:r>
      <w:r>
        <w:rPr>
          <w:rFonts w:ascii="Times New Roman" w:hAnsi="Times New Roman"/>
        </w:rPr>
        <w:t xml:space="preserve"> (untabulated).  T</w:t>
      </w:r>
      <w:r w:rsidRPr="001A5A42">
        <w:rPr>
          <w:rFonts w:ascii="Times New Roman" w:hAnsi="Times New Roman"/>
        </w:rPr>
        <w:t xml:space="preserve">he results </w:t>
      </w:r>
      <w:r>
        <w:rPr>
          <w:rFonts w:ascii="Times New Roman" w:hAnsi="Times New Roman"/>
        </w:rPr>
        <w:t>support the same inferences as</w:t>
      </w:r>
      <w:r w:rsidRPr="001A5A42">
        <w:rPr>
          <w:rFonts w:ascii="Times New Roman" w:hAnsi="Times New Roman"/>
        </w:rPr>
        <w:t xml:space="preserve"> those presented in the paper</w:t>
      </w:r>
      <w:r>
        <w:rPr>
          <w:rFonts w:ascii="Times New Roman" w:hAnsi="Times New Roman"/>
        </w:rPr>
        <w:t xml:space="preserve"> for the percentage of days with zero returns, but the results for the log of mean bid-ask spread are not significant, probably due to the reduced sample size</w:t>
      </w:r>
      <w:r w:rsidRPr="001A5A42">
        <w:rPr>
          <w:rFonts w:ascii="Times New Roman" w:hAnsi="Times New Roman"/>
        </w:rPr>
        <w:t>.</w:t>
      </w:r>
    </w:p>
  </w:footnote>
  <w:footnote w:id="31">
    <w:p w:rsidR="00E30193" w:rsidRPr="00C54C2E" w:rsidRDefault="00E30193">
      <w:pPr>
        <w:pStyle w:val="FootnoteText"/>
        <w:rPr>
          <w:rFonts w:ascii="Times New Roman" w:hAnsi="Times New Roman"/>
        </w:rPr>
      </w:pPr>
      <w:r w:rsidRPr="00352092">
        <w:rPr>
          <w:rStyle w:val="FootnoteReference"/>
          <w:rFonts w:ascii="Times New Roman" w:hAnsi="Times New Roman"/>
        </w:rPr>
        <w:footnoteRef/>
      </w:r>
      <w:r w:rsidRPr="00352092">
        <w:rPr>
          <w:rFonts w:ascii="Times New Roman" w:hAnsi="Times New Roman"/>
        </w:rPr>
        <w:t xml:space="preserve"> </w:t>
      </w:r>
      <w:r w:rsidRPr="00C54C2E">
        <w:rPr>
          <w:rFonts w:ascii="Times New Roman" w:hAnsi="Times New Roman"/>
        </w:rPr>
        <w:t xml:space="preserve">See </w:t>
      </w:r>
      <w:proofErr w:type="spellStart"/>
      <w:r w:rsidRPr="00C54C2E">
        <w:rPr>
          <w:rFonts w:ascii="Times New Roman" w:hAnsi="Times New Roman"/>
        </w:rPr>
        <w:t>Leuz</w:t>
      </w:r>
      <w:proofErr w:type="spellEnd"/>
      <w:r w:rsidRPr="00C54C2E">
        <w:rPr>
          <w:rFonts w:ascii="Times New Roman" w:hAnsi="Times New Roman"/>
        </w:rPr>
        <w:t xml:space="preserve"> and </w:t>
      </w:r>
      <w:proofErr w:type="spellStart"/>
      <w:r w:rsidRPr="00C54C2E">
        <w:rPr>
          <w:rFonts w:ascii="Times New Roman" w:hAnsi="Times New Roman"/>
        </w:rPr>
        <w:t>Verrec</w:t>
      </w:r>
      <w:r>
        <w:rPr>
          <w:rFonts w:ascii="Times New Roman" w:hAnsi="Times New Roman"/>
        </w:rPr>
        <w:t>c</w:t>
      </w:r>
      <w:r w:rsidRPr="00C54C2E">
        <w:rPr>
          <w:rFonts w:ascii="Times New Roman" w:hAnsi="Times New Roman"/>
        </w:rPr>
        <w:t>hia</w:t>
      </w:r>
      <w:proofErr w:type="spellEnd"/>
      <w:r w:rsidRPr="00C54C2E">
        <w:rPr>
          <w:rFonts w:ascii="Times New Roman" w:hAnsi="Times New Roman"/>
        </w:rPr>
        <w:t xml:space="preserve"> (2000)</w:t>
      </w:r>
      <w:r>
        <w:rPr>
          <w:rFonts w:ascii="Times New Roman" w:hAnsi="Times New Roman"/>
        </w:rPr>
        <w:t xml:space="preserve"> and Christensen et al. (2011)</w:t>
      </w:r>
      <w:r w:rsidRPr="00C54C2E">
        <w:rPr>
          <w:rFonts w:ascii="Times New Roman" w:hAnsi="Times New Roman"/>
        </w:rPr>
        <w:t xml:space="preserve"> for the use of the logarithm of </w:t>
      </w:r>
      <w:r>
        <w:rPr>
          <w:rFonts w:ascii="Times New Roman" w:hAnsi="Times New Roman"/>
        </w:rPr>
        <w:t xml:space="preserve">average </w:t>
      </w:r>
      <w:r w:rsidRPr="00C54C2E">
        <w:rPr>
          <w:rFonts w:ascii="Times New Roman" w:hAnsi="Times New Roman"/>
        </w:rPr>
        <w:t xml:space="preserve">bid-ask spread as a liquidity measure. </w:t>
      </w:r>
    </w:p>
  </w:footnote>
  <w:footnote w:id="32">
    <w:p w:rsidR="00E30193" w:rsidRPr="00F32544" w:rsidRDefault="00E30193" w:rsidP="006D0625">
      <w:pPr>
        <w:autoSpaceDE w:val="0"/>
        <w:autoSpaceDN w:val="0"/>
        <w:adjustRightInd w:val="0"/>
        <w:jc w:val="both"/>
        <w:rPr>
          <w:sz w:val="20"/>
          <w:szCs w:val="20"/>
        </w:rPr>
      </w:pPr>
      <w:r w:rsidRPr="00352092">
        <w:rPr>
          <w:rStyle w:val="FootnoteReference"/>
          <w:sz w:val="20"/>
        </w:rPr>
        <w:footnoteRef/>
      </w:r>
      <w:r w:rsidRPr="008D59F4">
        <w:rPr>
          <w:sz w:val="20"/>
          <w:szCs w:val="20"/>
        </w:rPr>
        <w:t xml:space="preserve">As discussed in section 2, </w:t>
      </w:r>
      <w:r w:rsidRPr="008D59F4">
        <w:rPr>
          <w:color w:val="000000"/>
          <w:sz w:val="20"/>
          <w:szCs w:val="20"/>
        </w:rPr>
        <w:t xml:space="preserve">39 of our sample firms were </w:t>
      </w:r>
      <w:r>
        <w:rPr>
          <w:color w:val="000000"/>
          <w:sz w:val="20"/>
          <w:szCs w:val="20"/>
        </w:rPr>
        <w:t xml:space="preserve">dropped </w:t>
      </w:r>
      <w:r w:rsidRPr="008D59F4">
        <w:rPr>
          <w:color w:val="000000"/>
          <w:sz w:val="20"/>
          <w:szCs w:val="20"/>
        </w:rPr>
        <w:t xml:space="preserve">from the segments during the post-merger period, and 19 firms who were listed on Euronext during the post-merger period subsequently joined one of the segments.  The firms that were dropped from the segments continued to be traded on Euronext, and were not lost to mergers and acquisitions, bankruptcy, or other voluntary or involuntary </w:t>
      </w:r>
      <w:proofErr w:type="spellStart"/>
      <w:r w:rsidRPr="008D59F4">
        <w:rPr>
          <w:color w:val="000000"/>
          <w:sz w:val="20"/>
          <w:szCs w:val="20"/>
        </w:rPr>
        <w:t>delistings</w:t>
      </w:r>
      <w:proofErr w:type="spellEnd"/>
      <w:r w:rsidRPr="008D59F4">
        <w:rPr>
          <w:color w:val="000000"/>
          <w:sz w:val="20"/>
          <w:szCs w:val="20"/>
        </w:rPr>
        <w:t xml:space="preserve"> from the exchange. </w:t>
      </w:r>
      <w:r w:rsidRPr="00F32544">
        <w:rPr>
          <w:color w:val="000000"/>
          <w:sz w:val="20"/>
          <w:szCs w:val="20"/>
        </w:rPr>
        <w:t xml:space="preserve">For example, the French producer of steel tubes and tube products </w:t>
      </w:r>
      <w:proofErr w:type="spellStart"/>
      <w:r w:rsidRPr="00F32544">
        <w:rPr>
          <w:color w:val="000000"/>
          <w:sz w:val="20"/>
          <w:szCs w:val="20"/>
        </w:rPr>
        <w:t>Vallourec</w:t>
      </w:r>
      <w:proofErr w:type="spellEnd"/>
      <w:r w:rsidRPr="00F32544">
        <w:rPr>
          <w:color w:val="000000"/>
          <w:sz w:val="20"/>
          <w:szCs w:val="20"/>
        </w:rPr>
        <w:t xml:space="preserve"> was removed from the NextPrime segment and index in 2003 in accordance with Article 11.3 of the Inclusion Agreement (</w:t>
      </w:r>
      <w:r w:rsidRPr="00F32544">
        <w:rPr>
          <w:bCs/>
          <w:sz w:val="20"/>
          <w:szCs w:val="20"/>
        </w:rPr>
        <w:t xml:space="preserve">LISTING DEPARTMENT AVIS N° 459 - BERICHT NR 459 - NOTICE NR 459 - 17-12-2003, http://www.euronext.com/fic/000/010/233/102339.pdf) </w:t>
      </w:r>
      <w:r w:rsidRPr="00F32544">
        <w:rPr>
          <w:color w:val="000000"/>
          <w:sz w:val="20"/>
          <w:szCs w:val="20"/>
        </w:rPr>
        <w:t>but to this day remains traded on Euronext Paris.</w:t>
      </w:r>
    </w:p>
  </w:footnote>
  <w:footnote w:id="33">
    <w:p w:rsidR="00E30193" w:rsidRDefault="00E30193" w:rsidP="00BF0FD2">
      <w:pPr>
        <w:jc w:val="both"/>
        <w:rPr>
          <w:color w:val="000000"/>
        </w:rPr>
      </w:pPr>
      <w:r w:rsidRPr="00352092">
        <w:rPr>
          <w:rStyle w:val="FootnoteReference"/>
          <w:sz w:val="20"/>
        </w:rPr>
        <w:footnoteRef/>
      </w:r>
      <w:r w:rsidRPr="00BF0FD2">
        <w:rPr>
          <w:color w:val="000000"/>
          <w:sz w:val="20"/>
          <w:szCs w:val="20"/>
        </w:rPr>
        <w:t>Given that we do not have complete time series of the other three dimensions of the compliance measure, the results documented in this table should be interpreted as suggestive.</w:t>
      </w:r>
      <w:r>
        <w:rPr>
          <w:color w:val="000000"/>
        </w:rPr>
        <w:t xml:space="preserve"> </w:t>
      </w:r>
    </w:p>
    <w:p w:rsidR="00E30193" w:rsidRDefault="00E30193">
      <w:pPr>
        <w:pStyle w:val="FootnoteText"/>
      </w:pPr>
    </w:p>
  </w:footnote>
  <w:footnote w:id="34">
    <w:p w:rsidR="00E30193" w:rsidRPr="00B55A2D" w:rsidRDefault="00E30193" w:rsidP="00511400">
      <w:pPr>
        <w:pStyle w:val="FootnoteText"/>
        <w:jc w:val="both"/>
        <w:rPr>
          <w:rFonts w:ascii="Times New Roman" w:hAnsi="Times New Roman"/>
        </w:rPr>
      </w:pPr>
      <w:r w:rsidRPr="00352092">
        <w:rPr>
          <w:rStyle w:val="FootnoteReference"/>
          <w:rFonts w:ascii="Times New Roman" w:hAnsi="Times New Roman"/>
        </w:rPr>
        <w:footnoteRef/>
      </w:r>
      <w:r>
        <w:t xml:space="preserve"> </w:t>
      </w:r>
      <w:r w:rsidRPr="00B55A2D">
        <w:rPr>
          <w:rFonts w:ascii="Times New Roman" w:hAnsi="Times New Roman"/>
          <w:color w:val="000000"/>
        </w:rPr>
        <w:t>Statistical tests on the differences in the coefficients on the triple interaction term are t-tests computed by running stacked regressions in which the first of each pair of models is run after adding an interaction between each term in the model and Segment (column 2), Low-Compliance Segment (column 5), or High-Compliance Segment (column 8)</w:t>
      </w:r>
      <w:r>
        <w:rPr>
          <w:rFonts w:ascii="Times New Roman" w:hAnsi="Times New Roman"/>
          <w:color w:val="000000"/>
        </w:rPr>
        <w:t xml:space="preserve"> designations</w:t>
      </w:r>
      <w:r w:rsidRPr="00B55A2D">
        <w:rPr>
          <w:rFonts w:ascii="Times New Roman" w:hAnsi="Times New Roman"/>
          <w:color w:val="000000"/>
        </w:rPr>
        <w:t xml:space="preserve">. </w:t>
      </w:r>
    </w:p>
  </w:footnote>
  <w:footnote w:id="35">
    <w:p w:rsidR="00E30193" w:rsidRPr="00937C4F" w:rsidRDefault="00E30193" w:rsidP="006D0625">
      <w:pPr>
        <w:pStyle w:val="FootnoteText"/>
        <w:jc w:val="both"/>
        <w:rPr>
          <w:rFonts w:ascii="Times New Roman" w:hAnsi="Times New Roman"/>
        </w:rPr>
      </w:pPr>
      <w:r w:rsidRPr="00937C4F">
        <w:rPr>
          <w:rStyle w:val="FootnoteReference"/>
          <w:rFonts w:ascii="Times New Roman" w:hAnsi="Times New Roman"/>
        </w:rPr>
        <w:footnoteRef/>
      </w:r>
      <w:r w:rsidRPr="00937C4F">
        <w:rPr>
          <w:rFonts w:ascii="Times New Roman" w:hAnsi="Times New Roman"/>
        </w:rPr>
        <w:t xml:space="preserve">This </w:t>
      </w:r>
      <w:r>
        <w:rPr>
          <w:rFonts w:ascii="Times New Roman" w:hAnsi="Times New Roman"/>
        </w:rPr>
        <w:t>equation is similar to Eq. (1) from Barth et al. (2007), but our dependent variable is net income, so the residuals can be interpreted as the variability of net income rather than the variability of the change in net income. We do not difference net income to avoid the substantial additional loss of data. In addition, because the variables of debt and equity issuance (</w:t>
      </w:r>
      <w:proofErr w:type="spellStart"/>
      <w:r>
        <w:rPr>
          <w:rFonts w:ascii="Times New Roman" w:hAnsi="Times New Roman"/>
        </w:rPr>
        <w:t>Worldscope</w:t>
      </w:r>
      <w:proofErr w:type="spellEnd"/>
      <w:r>
        <w:rPr>
          <w:rFonts w:ascii="Times New Roman" w:hAnsi="Times New Roman"/>
        </w:rPr>
        <w:t xml:space="preserve">) are missing for the majority of our sample firms and we have included variables that we posit are related to the choice to become listed on the named segments, we do not include the debt and equity issuance variables from Barth et al.’s (2007) Eq. (1). </w:t>
      </w:r>
    </w:p>
  </w:footnote>
  <w:footnote w:id="36">
    <w:p w:rsidR="00E30193" w:rsidRPr="00405899" w:rsidRDefault="00E30193" w:rsidP="006D0625">
      <w:pPr>
        <w:pStyle w:val="FootnoteText"/>
        <w:jc w:val="both"/>
        <w:rPr>
          <w:rFonts w:ascii="Times New Roman" w:hAnsi="Times New Roman"/>
        </w:rPr>
      </w:pPr>
      <w:r w:rsidRPr="00405899">
        <w:rPr>
          <w:rStyle w:val="FootnoteReference"/>
          <w:rFonts w:ascii="Times New Roman" w:hAnsi="Times New Roman"/>
        </w:rPr>
        <w:footnoteRef/>
      </w:r>
      <w:r w:rsidRPr="00405899">
        <w:rPr>
          <w:rFonts w:ascii="Times New Roman" w:hAnsi="Times New Roman"/>
        </w:rPr>
        <w:t xml:space="preserve"> </w:t>
      </w:r>
      <w:r>
        <w:rPr>
          <w:rFonts w:ascii="Times New Roman" w:hAnsi="Times New Roman"/>
        </w:rPr>
        <w:t>Note our measure is based on variability of earnings level relative to variability of OCF level, which is different from the measure in Barth et al</w:t>
      </w:r>
      <w:r w:rsidR="00763E8B">
        <w:rPr>
          <w:rFonts w:ascii="Times New Roman" w:hAnsi="Times New Roman"/>
        </w:rPr>
        <w:t>.</w:t>
      </w:r>
      <w:r>
        <w:rPr>
          <w:rFonts w:ascii="Times New Roman" w:hAnsi="Times New Roman"/>
        </w:rPr>
        <w:t xml:space="preserve"> (2007) that compares variability of earnings changes to variability of OCF changes. We think that this measure can achieve the same goal of measuring earnings variability for the following two reasons: first, this approach is similar in spirit to the analysis of net income relative to OCF in </w:t>
      </w:r>
      <w:proofErr w:type="spellStart"/>
      <w:r>
        <w:rPr>
          <w:rFonts w:ascii="Times New Roman" w:hAnsi="Times New Roman"/>
        </w:rPr>
        <w:t>Leuz</w:t>
      </w:r>
      <w:proofErr w:type="spellEnd"/>
      <w:r>
        <w:rPr>
          <w:rFonts w:ascii="Times New Roman" w:hAnsi="Times New Roman"/>
        </w:rPr>
        <w:t xml:space="preserve"> et al (2003). To the extent that the estimation of variability of both net income and OCF is at their levels, our measure should provide a proxy for the variability of earnings after controlling for the underlying operating environment.  Second, we have also examined other accounting quality measures. To the extent that the results from various analyses are consistent, the validity of the results </w:t>
      </w:r>
      <w:proofErr w:type="gramStart"/>
      <w:r>
        <w:rPr>
          <w:rFonts w:ascii="Times New Roman" w:hAnsi="Times New Roman"/>
        </w:rPr>
        <w:t>are</w:t>
      </w:r>
      <w:proofErr w:type="gramEnd"/>
      <w:r>
        <w:rPr>
          <w:rFonts w:ascii="Times New Roman" w:hAnsi="Times New Roman"/>
        </w:rPr>
        <w:t xml:space="preserve"> enhanced. </w:t>
      </w:r>
    </w:p>
  </w:footnote>
  <w:footnote w:id="37">
    <w:p w:rsidR="00E30193" w:rsidRPr="002D4FE9" w:rsidRDefault="00E30193" w:rsidP="002D4FE9">
      <w:pPr>
        <w:pStyle w:val="FootnoteText"/>
        <w:jc w:val="both"/>
        <w:rPr>
          <w:rFonts w:ascii="Times New Roman" w:hAnsi="Times New Roman"/>
        </w:rPr>
      </w:pPr>
      <w:r w:rsidRPr="00352092">
        <w:rPr>
          <w:rStyle w:val="FootnoteReference"/>
          <w:rFonts w:ascii="Times New Roman" w:hAnsi="Times New Roman"/>
        </w:rPr>
        <w:footnoteRef/>
      </w:r>
      <w:r w:rsidRPr="00AE44BB">
        <w:rPr>
          <w:rFonts w:ascii="Times New Roman" w:hAnsi="Times New Roman"/>
        </w:rPr>
        <w:t>We conjecture</w:t>
      </w:r>
      <w:r w:rsidRPr="002D4FE9">
        <w:rPr>
          <w:rFonts w:ascii="Times New Roman" w:hAnsi="Times New Roman"/>
        </w:rPr>
        <w:t xml:space="preserve"> that </w:t>
      </w:r>
      <w:r>
        <w:rPr>
          <w:rFonts w:ascii="Times New Roman" w:hAnsi="Times New Roman"/>
        </w:rPr>
        <w:t xml:space="preserve">the largest firms’ not joining the named segments is attributable not only to the focus of the named segments on small and mid-cap firms, but also on the fact that </w:t>
      </w:r>
      <w:r w:rsidRPr="002D4FE9">
        <w:rPr>
          <w:rFonts w:ascii="Times New Roman" w:hAnsi="Times New Roman"/>
        </w:rPr>
        <w:t>for the largest Euronext-listed firms, being larger, more internationally visible, and more likely to be listed on US exchanges already conferred credibility.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93" w:rsidRDefault="00E30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93" w:rsidRDefault="00E30193">
    <w:pPr>
      <w:pStyle w:val="Header"/>
    </w:pPr>
  </w:p>
  <w:p w:rsidR="00E30193" w:rsidRDefault="00E301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93" w:rsidRDefault="00E30193">
    <w:pPr>
      <w:pStyle w:val="Header"/>
    </w:pPr>
  </w:p>
  <w:p w:rsidR="00E30193" w:rsidRDefault="00E301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62F6307"/>
    <w:multiLevelType w:val="hybridMultilevel"/>
    <w:tmpl w:val="AA201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9792C"/>
    <w:multiLevelType w:val="hybridMultilevel"/>
    <w:tmpl w:val="6400D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D7BEF"/>
    <w:multiLevelType w:val="hybridMultilevel"/>
    <w:tmpl w:val="6A14F4B4"/>
    <w:lvl w:ilvl="0" w:tplc="11786E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77CDD"/>
    <w:multiLevelType w:val="hybridMultilevel"/>
    <w:tmpl w:val="172C7B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0C"/>
    <w:rsid w:val="00000F83"/>
    <w:rsid w:val="000019FB"/>
    <w:rsid w:val="0000395C"/>
    <w:rsid w:val="0000682B"/>
    <w:rsid w:val="00007020"/>
    <w:rsid w:val="00007AB2"/>
    <w:rsid w:val="000109A7"/>
    <w:rsid w:val="000116A7"/>
    <w:rsid w:val="00013CED"/>
    <w:rsid w:val="00013ED0"/>
    <w:rsid w:val="000140D8"/>
    <w:rsid w:val="00015170"/>
    <w:rsid w:val="00015230"/>
    <w:rsid w:val="00015978"/>
    <w:rsid w:val="00016826"/>
    <w:rsid w:val="00020993"/>
    <w:rsid w:val="0002165D"/>
    <w:rsid w:val="00021CB8"/>
    <w:rsid w:val="000251E8"/>
    <w:rsid w:val="000260FA"/>
    <w:rsid w:val="00026972"/>
    <w:rsid w:val="00026CCB"/>
    <w:rsid w:val="00030204"/>
    <w:rsid w:val="000302E0"/>
    <w:rsid w:val="00031EA8"/>
    <w:rsid w:val="0003249A"/>
    <w:rsid w:val="00034730"/>
    <w:rsid w:val="00041E08"/>
    <w:rsid w:val="00042D7F"/>
    <w:rsid w:val="00044094"/>
    <w:rsid w:val="000440FF"/>
    <w:rsid w:val="00046937"/>
    <w:rsid w:val="0005123D"/>
    <w:rsid w:val="00051889"/>
    <w:rsid w:val="000526C0"/>
    <w:rsid w:val="00057CB6"/>
    <w:rsid w:val="00061C5E"/>
    <w:rsid w:val="00062501"/>
    <w:rsid w:val="00062EDC"/>
    <w:rsid w:val="0006322F"/>
    <w:rsid w:val="000649C3"/>
    <w:rsid w:val="0006535B"/>
    <w:rsid w:val="0006552A"/>
    <w:rsid w:val="0006555A"/>
    <w:rsid w:val="000666FD"/>
    <w:rsid w:val="00066BF5"/>
    <w:rsid w:val="0006740E"/>
    <w:rsid w:val="0007020F"/>
    <w:rsid w:val="00070B77"/>
    <w:rsid w:val="00071BB8"/>
    <w:rsid w:val="000740CD"/>
    <w:rsid w:val="000772A3"/>
    <w:rsid w:val="00077AE6"/>
    <w:rsid w:val="00077C5D"/>
    <w:rsid w:val="000805BF"/>
    <w:rsid w:val="000812B7"/>
    <w:rsid w:val="000812D2"/>
    <w:rsid w:val="000817A2"/>
    <w:rsid w:val="00082673"/>
    <w:rsid w:val="00082FC9"/>
    <w:rsid w:val="000834AB"/>
    <w:rsid w:val="00084229"/>
    <w:rsid w:val="000864B3"/>
    <w:rsid w:val="0008796A"/>
    <w:rsid w:val="00087F21"/>
    <w:rsid w:val="00087FA7"/>
    <w:rsid w:val="00091AEC"/>
    <w:rsid w:val="00092477"/>
    <w:rsid w:val="00093DBC"/>
    <w:rsid w:val="000960FF"/>
    <w:rsid w:val="00097C93"/>
    <w:rsid w:val="000A00B0"/>
    <w:rsid w:val="000A4BC6"/>
    <w:rsid w:val="000A4F57"/>
    <w:rsid w:val="000B0622"/>
    <w:rsid w:val="000B0A1B"/>
    <w:rsid w:val="000B102E"/>
    <w:rsid w:val="000B43C7"/>
    <w:rsid w:val="000B4FF1"/>
    <w:rsid w:val="000C4CA7"/>
    <w:rsid w:val="000C6CBE"/>
    <w:rsid w:val="000C7B44"/>
    <w:rsid w:val="000D326C"/>
    <w:rsid w:val="000E36FC"/>
    <w:rsid w:val="000E4468"/>
    <w:rsid w:val="000E5494"/>
    <w:rsid w:val="000E6034"/>
    <w:rsid w:val="000E6E6C"/>
    <w:rsid w:val="000E70A8"/>
    <w:rsid w:val="000E7342"/>
    <w:rsid w:val="000F0F69"/>
    <w:rsid w:val="000F1684"/>
    <w:rsid w:val="000F473D"/>
    <w:rsid w:val="000F4F7E"/>
    <w:rsid w:val="000F789D"/>
    <w:rsid w:val="000F7C53"/>
    <w:rsid w:val="0010017D"/>
    <w:rsid w:val="0010019E"/>
    <w:rsid w:val="001026F1"/>
    <w:rsid w:val="00103300"/>
    <w:rsid w:val="001038C6"/>
    <w:rsid w:val="00103D7A"/>
    <w:rsid w:val="0010415C"/>
    <w:rsid w:val="00105647"/>
    <w:rsid w:val="0010662D"/>
    <w:rsid w:val="00110BC7"/>
    <w:rsid w:val="00110D1A"/>
    <w:rsid w:val="00113BC2"/>
    <w:rsid w:val="00114D59"/>
    <w:rsid w:val="00117BFA"/>
    <w:rsid w:val="00120C28"/>
    <w:rsid w:val="00120DDB"/>
    <w:rsid w:val="001251B4"/>
    <w:rsid w:val="0012578E"/>
    <w:rsid w:val="0012774E"/>
    <w:rsid w:val="001279EC"/>
    <w:rsid w:val="00127C2C"/>
    <w:rsid w:val="0013128E"/>
    <w:rsid w:val="00132246"/>
    <w:rsid w:val="00132EFE"/>
    <w:rsid w:val="001334CA"/>
    <w:rsid w:val="001340C2"/>
    <w:rsid w:val="001340E1"/>
    <w:rsid w:val="00134666"/>
    <w:rsid w:val="00134A16"/>
    <w:rsid w:val="00134BC0"/>
    <w:rsid w:val="001365A0"/>
    <w:rsid w:val="00137237"/>
    <w:rsid w:val="00140281"/>
    <w:rsid w:val="001405F2"/>
    <w:rsid w:val="00141020"/>
    <w:rsid w:val="00141322"/>
    <w:rsid w:val="001450A3"/>
    <w:rsid w:val="001460C3"/>
    <w:rsid w:val="0015134D"/>
    <w:rsid w:val="001518CB"/>
    <w:rsid w:val="00151966"/>
    <w:rsid w:val="001526F2"/>
    <w:rsid w:val="00152F1C"/>
    <w:rsid w:val="0015411B"/>
    <w:rsid w:val="001556C4"/>
    <w:rsid w:val="001558DA"/>
    <w:rsid w:val="001558EA"/>
    <w:rsid w:val="001610D0"/>
    <w:rsid w:val="001614C2"/>
    <w:rsid w:val="00164837"/>
    <w:rsid w:val="00166533"/>
    <w:rsid w:val="00171204"/>
    <w:rsid w:val="00171AD2"/>
    <w:rsid w:val="00172F82"/>
    <w:rsid w:val="00175265"/>
    <w:rsid w:val="00175790"/>
    <w:rsid w:val="00175B34"/>
    <w:rsid w:val="00176BAE"/>
    <w:rsid w:val="00177756"/>
    <w:rsid w:val="00177B91"/>
    <w:rsid w:val="00184534"/>
    <w:rsid w:val="00184DDB"/>
    <w:rsid w:val="0018647F"/>
    <w:rsid w:val="0019128F"/>
    <w:rsid w:val="001920AC"/>
    <w:rsid w:val="00193E6E"/>
    <w:rsid w:val="001947E2"/>
    <w:rsid w:val="00195111"/>
    <w:rsid w:val="001951B0"/>
    <w:rsid w:val="00196D36"/>
    <w:rsid w:val="00197A0C"/>
    <w:rsid w:val="001A0E5D"/>
    <w:rsid w:val="001A160F"/>
    <w:rsid w:val="001A1839"/>
    <w:rsid w:val="001A2375"/>
    <w:rsid w:val="001A2629"/>
    <w:rsid w:val="001A266A"/>
    <w:rsid w:val="001A3E1E"/>
    <w:rsid w:val="001A413C"/>
    <w:rsid w:val="001A47CF"/>
    <w:rsid w:val="001A58C2"/>
    <w:rsid w:val="001A5A42"/>
    <w:rsid w:val="001A5E30"/>
    <w:rsid w:val="001A69F6"/>
    <w:rsid w:val="001A6E81"/>
    <w:rsid w:val="001B0BB6"/>
    <w:rsid w:val="001B0CC4"/>
    <w:rsid w:val="001B0FE6"/>
    <w:rsid w:val="001B53E8"/>
    <w:rsid w:val="001B5E1A"/>
    <w:rsid w:val="001B6D7D"/>
    <w:rsid w:val="001C15A2"/>
    <w:rsid w:val="001C1973"/>
    <w:rsid w:val="001C2874"/>
    <w:rsid w:val="001C3005"/>
    <w:rsid w:val="001C4838"/>
    <w:rsid w:val="001C4D4E"/>
    <w:rsid w:val="001C5156"/>
    <w:rsid w:val="001C5877"/>
    <w:rsid w:val="001C67BE"/>
    <w:rsid w:val="001C740A"/>
    <w:rsid w:val="001D0071"/>
    <w:rsid w:val="001D33CC"/>
    <w:rsid w:val="001D3B8E"/>
    <w:rsid w:val="001D3B97"/>
    <w:rsid w:val="001D5350"/>
    <w:rsid w:val="001D58A9"/>
    <w:rsid w:val="001D644F"/>
    <w:rsid w:val="001D6D58"/>
    <w:rsid w:val="001D7769"/>
    <w:rsid w:val="001E1CDE"/>
    <w:rsid w:val="001E2AEB"/>
    <w:rsid w:val="001E2F19"/>
    <w:rsid w:val="001E3248"/>
    <w:rsid w:val="001E54D6"/>
    <w:rsid w:val="001E5BE6"/>
    <w:rsid w:val="001E5FC2"/>
    <w:rsid w:val="001E7033"/>
    <w:rsid w:val="001F0F1B"/>
    <w:rsid w:val="001F2B74"/>
    <w:rsid w:val="001F37A2"/>
    <w:rsid w:val="001F52E6"/>
    <w:rsid w:val="002003A4"/>
    <w:rsid w:val="002018AE"/>
    <w:rsid w:val="002031DF"/>
    <w:rsid w:val="002078F7"/>
    <w:rsid w:val="00211B81"/>
    <w:rsid w:val="0021510A"/>
    <w:rsid w:val="0021764C"/>
    <w:rsid w:val="0021799C"/>
    <w:rsid w:val="00217D8F"/>
    <w:rsid w:val="00221C77"/>
    <w:rsid w:val="002236CB"/>
    <w:rsid w:val="00223C53"/>
    <w:rsid w:val="00224522"/>
    <w:rsid w:val="00225272"/>
    <w:rsid w:val="002263E0"/>
    <w:rsid w:val="002306E5"/>
    <w:rsid w:val="002315F2"/>
    <w:rsid w:val="00233677"/>
    <w:rsid w:val="002336E7"/>
    <w:rsid w:val="00234AC3"/>
    <w:rsid w:val="00234E0E"/>
    <w:rsid w:val="00235A98"/>
    <w:rsid w:val="00236B52"/>
    <w:rsid w:val="00240935"/>
    <w:rsid w:val="00241C94"/>
    <w:rsid w:val="00242F1C"/>
    <w:rsid w:val="00242F7E"/>
    <w:rsid w:val="002457E9"/>
    <w:rsid w:val="00245C06"/>
    <w:rsid w:val="002464ED"/>
    <w:rsid w:val="00246FF5"/>
    <w:rsid w:val="00250358"/>
    <w:rsid w:val="00251994"/>
    <w:rsid w:val="00253515"/>
    <w:rsid w:val="00253BE1"/>
    <w:rsid w:val="00257893"/>
    <w:rsid w:val="00261710"/>
    <w:rsid w:val="002625E9"/>
    <w:rsid w:val="0026390C"/>
    <w:rsid w:val="00264BC5"/>
    <w:rsid w:val="00266AE7"/>
    <w:rsid w:val="002670F5"/>
    <w:rsid w:val="002675FC"/>
    <w:rsid w:val="00267F01"/>
    <w:rsid w:val="00270942"/>
    <w:rsid w:val="00271612"/>
    <w:rsid w:val="002739ED"/>
    <w:rsid w:val="002743BD"/>
    <w:rsid w:val="00274873"/>
    <w:rsid w:val="002766D8"/>
    <w:rsid w:val="00277AA5"/>
    <w:rsid w:val="00280011"/>
    <w:rsid w:val="00280D55"/>
    <w:rsid w:val="00281E7D"/>
    <w:rsid w:val="00282350"/>
    <w:rsid w:val="002830E8"/>
    <w:rsid w:val="00283A99"/>
    <w:rsid w:val="00283D68"/>
    <w:rsid w:val="00284E54"/>
    <w:rsid w:val="00285829"/>
    <w:rsid w:val="00285C4B"/>
    <w:rsid w:val="00285F0F"/>
    <w:rsid w:val="00290CF2"/>
    <w:rsid w:val="002924DB"/>
    <w:rsid w:val="002927A2"/>
    <w:rsid w:val="00292E31"/>
    <w:rsid w:val="00292EDA"/>
    <w:rsid w:val="00293707"/>
    <w:rsid w:val="002942DF"/>
    <w:rsid w:val="00294EEE"/>
    <w:rsid w:val="00296D7D"/>
    <w:rsid w:val="002A3308"/>
    <w:rsid w:val="002A5618"/>
    <w:rsid w:val="002A5B74"/>
    <w:rsid w:val="002A7360"/>
    <w:rsid w:val="002A78FA"/>
    <w:rsid w:val="002B0B35"/>
    <w:rsid w:val="002B108B"/>
    <w:rsid w:val="002B1576"/>
    <w:rsid w:val="002B1D81"/>
    <w:rsid w:val="002B4EE6"/>
    <w:rsid w:val="002B7F8B"/>
    <w:rsid w:val="002C00E3"/>
    <w:rsid w:val="002C022E"/>
    <w:rsid w:val="002C14E3"/>
    <w:rsid w:val="002C2B3D"/>
    <w:rsid w:val="002C2C43"/>
    <w:rsid w:val="002C3807"/>
    <w:rsid w:val="002C4870"/>
    <w:rsid w:val="002C50BA"/>
    <w:rsid w:val="002C583A"/>
    <w:rsid w:val="002C7C2F"/>
    <w:rsid w:val="002D0780"/>
    <w:rsid w:val="002D2304"/>
    <w:rsid w:val="002D4FE9"/>
    <w:rsid w:val="002D5602"/>
    <w:rsid w:val="002E0371"/>
    <w:rsid w:val="002E0B86"/>
    <w:rsid w:val="002E0C60"/>
    <w:rsid w:val="002E159A"/>
    <w:rsid w:val="002E1B48"/>
    <w:rsid w:val="002E1CFC"/>
    <w:rsid w:val="002E1D3B"/>
    <w:rsid w:val="002E275A"/>
    <w:rsid w:val="002E347A"/>
    <w:rsid w:val="002E4A2D"/>
    <w:rsid w:val="002E5324"/>
    <w:rsid w:val="002F1CF8"/>
    <w:rsid w:val="002F4998"/>
    <w:rsid w:val="002F4F7A"/>
    <w:rsid w:val="002F642A"/>
    <w:rsid w:val="00300518"/>
    <w:rsid w:val="00304928"/>
    <w:rsid w:val="003062B4"/>
    <w:rsid w:val="003106B5"/>
    <w:rsid w:val="00310709"/>
    <w:rsid w:val="003110D2"/>
    <w:rsid w:val="00315791"/>
    <w:rsid w:val="00315CB8"/>
    <w:rsid w:val="00317A2E"/>
    <w:rsid w:val="00320FAF"/>
    <w:rsid w:val="0032204A"/>
    <w:rsid w:val="00323C71"/>
    <w:rsid w:val="00324DF6"/>
    <w:rsid w:val="00325E9B"/>
    <w:rsid w:val="0032748C"/>
    <w:rsid w:val="00327F5C"/>
    <w:rsid w:val="00332BD2"/>
    <w:rsid w:val="00333D1A"/>
    <w:rsid w:val="00333EF4"/>
    <w:rsid w:val="00340303"/>
    <w:rsid w:val="00341021"/>
    <w:rsid w:val="00344821"/>
    <w:rsid w:val="0034703F"/>
    <w:rsid w:val="0034757B"/>
    <w:rsid w:val="00347D84"/>
    <w:rsid w:val="00352092"/>
    <w:rsid w:val="00352594"/>
    <w:rsid w:val="00352B01"/>
    <w:rsid w:val="00353DCD"/>
    <w:rsid w:val="00354088"/>
    <w:rsid w:val="003573F2"/>
    <w:rsid w:val="0036151C"/>
    <w:rsid w:val="003623C3"/>
    <w:rsid w:val="003629EC"/>
    <w:rsid w:val="00365100"/>
    <w:rsid w:val="00365D84"/>
    <w:rsid w:val="00370533"/>
    <w:rsid w:val="003713E4"/>
    <w:rsid w:val="0037258B"/>
    <w:rsid w:val="003736F7"/>
    <w:rsid w:val="00374B0C"/>
    <w:rsid w:val="003756AC"/>
    <w:rsid w:val="00375843"/>
    <w:rsid w:val="00375D10"/>
    <w:rsid w:val="00376A71"/>
    <w:rsid w:val="00377077"/>
    <w:rsid w:val="0037716A"/>
    <w:rsid w:val="00390588"/>
    <w:rsid w:val="003918FB"/>
    <w:rsid w:val="003929FC"/>
    <w:rsid w:val="0039317F"/>
    <w:rsid w:val="0039413B"/>
    <w:rsid w:val="003A1645"/>
    <w:rsid w:val="003A445D"/>
    <w:rsid w:val="003A6E40"/>
    <w:rsid w:val="003B05B5"/>
    <w:rsid w:val="003B1F7D"/>
    <w:rsid w:val="003B303A"/>
    <w:rsid w:val="003B6ABF"/>
    <w:rsid w:val="003B6F83"/>
    <w:rsid w:val="003B7856"/>
    <w:rsid w:val="003C0C20"/>
    <w:rsid w:val="003C4546"/>
    <w:rsid w:val="003C471D"/>
    <w:rsid w:val="003C49B3"/>
    <w:rsid w:val="003C7090"/>
    <w:rsid w:val="003C73BA"/>
    <w:rsid w:val="003D07AB"/>
    <w:rsid w:val="003D0976"/>
    <w:rsid w:val="003D4F4D"/>
    <w:rsid w:val="003D678F"/>
    <w:rsid w:val="003D7529"/>
    <w:rsid w:val="003E269C"/>
    <w:rsid w:val="003E411F"/>
    <w:rsid w:val="003E6713"/>
    <w:rsid w:val="003E7FA9"/>
    <w:rsid w:val="003F00EE"/>
    <w:rsid w:val="003F035C"/>
    <w:rsid w:val="003F0BC5"/>
    <w:rsid w:val="003F10BD"/>
    <w:rsid w:val="003F1101"/>
    <w:rsid w:val="003F5135"/>
    <w:rsid w:val="003F542F"/>
    <w:rsid w:val="003F615D"/>
    <w:rsid w:val="003F6B1D"/>
    <w:rsid w:val="003F78E9"/>
    <w:rsid w:val="0040070E"/>
    <w:rsid w:val="00400806"/>
    <w:rsid w:val="0040142F"/>
    <w:rsid w:val="004040A4"/>
    <w:rsid w:val="00405899"/>
    <w:rsid w:val="00410D34"/>
    <w:rsid w:val="004121A2"/>
    <w:rsid w:val="0041231B"/>
    <w:rsid w:val="00412CE2"/>
    <w:rsid w:val="00416A87"/>
    <w:rsid w:val="0041714B"/>
    <w:rsid w:val="004177E1"/>
    <w:rsid w:val="004212A1"/>
    <w:rsid w:val="00422D73"/>
    <w:rsid w:val="004232E6"/>
    <w:rsid w:val="004242C0"/>
    <w:rsid w:val="00427130"/>
    <w:rsid w:val="00431CD7"/>
    <w:rsid w:val="0043265F"/>
    <w:rsid w:val="00432EF6"/>
    <w:rsid w:val="0043604C"/>
    <w:rsid w:val="00436CA9"/>
    <w:rsid w:val="00442E63"/>
    <w:rsid w:val="00443888"/>
    <w:rsid w:val="00445880"/>
    <w:rsid w:val="0045046F"/>
    <w:rsid w:val="00451B10"/>
    <w:rsid w:val="004523A9"/>
    <w:rsid w:val="00452F1C"/>
    <w:rsid w:val="00453F4C"/>
    <w:rsid w:val="0045550D"/>
    <w:rsid w:val="004558E3"/>
    <w:rsid w:val="00455DD6"/>
    <w:rsid w:val="0045718E"/>
    <w:rsid w:val="00457D50"/>
    <w:rsid w:val="00462C44"/>
    <w:rsid w:val="0046474A"/>
    <w:rsid w:val="004659F1"/>
    <w:rsid w:val="00465BDC"/>
    <w:rsid w:val="00467095"/>
    <w:rsid w:val="00467D6A"/>
    <w:rsid w:val="00471DAB"/>
    <w:rsid w:val="004722B5"/>
    <w:rsid w:val="004725EB"/>
    <w:rsid w:val="004741FA"/>
    <w:rsid w:val="004775E6"/>
    <w:rsid w:val="0047762C"/>
    <w:rsid w:val="004817D5"/>
    <w:rsid w:val="00482173"/>
    <w:rsid w:val="004832F9"/>
    <w:rsid w:val="004844F1"/>
    <w:rsid w:val="00486EE2"/>
    <w:rsid w:val="00490942"/>
    <w:rsid w:val="00495FC7"/>
    <w:rsid w:val="00496E0C"/>
    <w:rsid w:val="00497090"/>
    <w:rsid w:val="0049728E"/>
    <w:rsid w:val="004A01A4"/>
    <w:rsid w:val="004A0B9C"/>
    <w:rsid w:val="004A0D1F"/>
    <w:rsid w:val="004A13A5"/>
    <w:rsid w:val="004A2FF2"/>
    <w:rsid w:val="004A37CE"/>
    <w:rsid w:val="004A564A"/>
    <w:rsid w:val="004A5CF2"/>
    <w:rsid w:val="004A6445"/>
    <w:rsid w:val="004B63FB"/>
    <w:rsid w:val="004B6B5D"/>
    <w:rsid w:val="004B7302"/>
    <w:rsid w:val="004C075D"/>
    <w:rsid w:val="004C0AB4"/>
    <w:rsid w:val="004C3D34"/>
    <w:rsid w:val="004C41B5"/>
    <w:rsid w:val="004C5B6E"/>
    <w:rsid w:val="004C7849"/>
    <w:rsid w:val="004D008E"/>
    <w:rsid w:val="004D0A66"/>
    <w:rsid w:val="004D24CD"/>
    <w:rsid w:val="004D2F13"/>
    <w:rsid w:val="004D2F2F"/>
    <w:rsid w:val="004D3112"/>
    <w:rsid w:val="004D36FA"/>
    <w:rsid w:val="004D3A46"/>
    <w:rsid w:val="004D54BC"/>
    <w:rsid w:val="004D6071"/>
    <w:rsid w:val="004D70E3"/>
    <w:rsid w:val="004D7B2F"/>
    <w:rsid w:val="004E0B6A"/>
    <w:rsid w:val="004E1ECB"/>
    <w:rsid w:val="004E41CF"/>
    <w:rsid w:val="004E4657"/>
    <w:rsid w:val="004E6F25"/>
    <w:rsid w:val="004F10BD"/>
    <w:rsid w:val="004F1217"/>
    <w:rsid w:val="004F380E"/>
    <w:rsid w:val="004F41BD"/>
    <w:rsid w:val="004F4D5E"/>
    <w:rsid w:val="004F5299"/>
    <w:rsid w:val="0050069D"/>
    <w:rsid w:val="005013DC"/>
    <w:rsid w:val="005017D3"/>
    <w:rsid w:val="00502C08"/>
    <w:rsid w:val="00505947"/>
    <w:rsid w:val="0050627C"/>
    <w:rsid w:val="00506291"/>
    <w:rsid w:val="0050738D"/>
    <w:rsid w:val="00507AA3"/>
    <w:rsid w:val="00511400"/>
    <w:rsid w:val="005127BC"/>
    <w:rsid w:val="00512DD0"/>
    <w:rsid w:val="00513109"/>
    <w:rsid w:val="0051341B"/>
    <w:rsid w:val="0051353A"/>
    <w:rsid w:val="0051445D"/>
    <w:rsid w:val="00515252"/>
    <w:rsid w:val="00515C94"/>
    <w:rsid w:val="005161B8"/>
    <w:rsid w:val="0051640C"/>
    <w:rsid w:val="005170D3"/>
    <w:rsid w:val="00520749"/>
    <w:rsid w:val="0052102F"/>
    <w:rsid w:val="005222BC"/>
    <w:rsid w:val="00526B12"/>
    <w:rsid w:val="00527149"/>
    <w:rsid w:val="0052750A"/>
    <w:rsid w:val="00535099"/>
    <w:rsid w:val="00535FFB"/>
    <w:rsid w:val="005368A4"/>
    <w:rsid w:val="005402DE"/>
    <w:rsid w:val="00542070"/>
    <w:rsid w:val="00542B4F"/>
    <w:rsid w:val="00545323"/>
    <w:rsid w:val="005466B0"/>
    <w:rsid w:val="0055199D"/>
    <w:rsid w:val="005528A7"/>
    <w:rsid w:val="00552EF4"/>
    <w:rsid w:val="00554CB4"/>
    <w:rsid w:val="00555511"/>
    <w:rsid w:val="00557845"/>
    <w:rsid w:val="005610D1"/>
    <w:rsid w:val="00563E21"/>
    <w:rsid w:val="00564761"/>
    <w:rsid w:val="00565161"/>
    <w:rsid w:val="00570BBC"/>
    <w:rsid w:val="005721D6"/>
    <w:rsid w:val="0057602B"/>
    <w:rsid w:val="0057655F"/>
    <w:rsid w:val="00580DAD"/>
    <w:rsid w:val="00581ECA"/>
    <w:rsid w:val="00581F82"/>
    <w:rsid w:val="00583379"/>
    <w:rsid w:val="0058396A"/>
    <w:rsid w:val="00585026"/>
    <w:rsid w:val="005908C7"/>
    <w:rsid w:val="00591FE6"/>
    <w:rsid w:val="00592229"/>
    <w:rsid w:val="005938AD"/>
    <w:rsid w:val="00593AC0"/>
    <w:rsid w:val="00594D61"/>
    <w:rsid w:val="00594F19"/>
    <w:rsid w:val="00595736"/>
    <w:rsid w:val="005959A4"/>
    <w:rsid w:val="005A0016"/>
    <w:rsid w:val="005A0B8F"/>
    <w:rsid w:val="005A163A"/>
    <w:rsid w:val="005A3DCC"/>
    <w:rsid w:val="005A57F1"/>
    <w:rsid w:val="005B17DE"/>
    <w:rsid w:val="005B17FF"/>
    <w:rsid w:val="005B2B33"/>
    <w:rsid w:val="005B34A5"/>
    <w:rsid w:val="005B6FCC"/>
    <w:rsid w:val="005C25DC"/>
    <w:rsid w:val="005C2E57"/>
    <w:rsid w:val="005C5E7A"/>
    <w:rsid w:val="005D0D5F"/>
    <w:rsid w:val="005D2175"/>
    <w:rsid w:val="005D26DC"/>
    <w:rsid w:val="005D3B5C"/>
    <w:rsid w:val="005D3CA4"/>
    <w:rsid w:val="005D539A"/>
    <w:rsid w:val="005E03A4"/>
    <w:rsid w:val="005E53F9"/>
    <w:rsid w:val="005E58B9"/>
    <w:rsid w:val="005E6CEB"/>
    <w:rsid w:val="005F1782"/>
    <w:rsid w:val="005F1D14"/>
    <w:rsid w:val="005F44C2"/>
    <w:rsid w:val="005F4FB8"/>
    <w:rsid w:val="005F5352"/>
    <w:rsid w:val="0060033D"/>
    <w:rsid w:val="00601790"/>
    <w:rsid w:val="00603A52"/>
    <w:rsid w:val="00603B4E"/>
    <w:rsid w:val="0061245A"/>
    <w:rsid w:val="00612E04"/>
    <w:rsid w:val="00614314"/>
    <w:rsid w:val="00614650"/>
    <w:rsid w:val="0061552B"/>
    <w:rsid w:val="006155B5"/>
    <w:rsid w:val="00615687"/>
    <w:rsid w:val="006166AB"/>
    <w:rsid w:val="00616BC7"/>
    <w:rsid w:val="00617A49"/>
    <w:rsid w:val="00622F69"/>
    <w:rsid w:val="006236DB"/>
    <w:rsid w:val="00624B63"/>
    <w:rsid w:val="0062794B"/>
    <w:rsid w:val="00633A97"/>
    <w:rsid w:val="00633D25"/>
    <w:rsid w:val="00635E94"/>
    <w:rsid w:val="0063634B"/>
    <w:rsid w:val="006379BD"/>
    <w:rsid w:val="006406DE"/>
    <w:rsid w:val="00640A69"/>
    <w:rsid w:val="006435A0"/>
    <w:rsid w:val="00643601"/>
    <w:rsid w:val="00643D98"/>
    <w:rsid w:val="0064422C"/>
    <w:rsid w:val="00644918"/>
    <w:rsid w:val="00644A49"/>
    <w:rsid w:val="00645555"/>
    <w:rsid w:val="00646069"/>
    <w:rsid w:val="0064638A"/>
    <w:rsid w:val="00646693"/>
    <w:rsid w:val="00650447"/>
    <w:rsid w:val="00650CDC"/>
    <w:rsid w:val="00650DA1"/>
    <w:rsid w:val="00651340"/>
    <w:rsid w:val="00655703"/>
    <w:rsid w:val="00656852"/>
    <w:rsid w:val="006617C0"/>
    <w:rsid w:val="0066244C"/>
    <w:rsid w:val="0066367B"/>
    <w:rsid w:val="00667812"/>
    <w:rsid w:val="00670D05"/>
    <w:rsid w:val="006713D2"/>
    <w:rsid w:val="00671C95"/>
    <w:rsid w:val="00673378"/>
    <w:rsid w:val="00674192"/>
    <w:rsid w:val="00677BFC"/>
    <w:rsid w:val="00677F0D"/>
    <w:rsid w:val="00680B4C"/>
    <w:rsid w:val="006824D1"/>
    <w:rsid w:val="00682C70"/>
    <w:rsid w:val="0068313B"/>
    <w:rsid w:val="00683426"/>
    <w:rsid w:val="00687527"/>
    <w:rsid w:val="006911D7"/>
    <w:rsid w:val="00691C47"/>
    <w:rsid w:val="006924BC"/>
    <w:rsid w:val="00692A0F"/>
    <w:rsid w:val="006944A5"/>
    <w:rsid w:val="00694C82"/>
    <w:rsid w:val="00694E05"/>
    <w:rsid w:val="0069565C"/>
    <w:rsid w:val="00696D5A"/>
    <w:rsid w:val="00697200"/>
    <w:rsid w:val="006977E9"/>
    <w:rsid w:val="006A1FC0"/>
    <w:rsid w:val="006A3BAD"/>
    <w:rsid w:val="006A4FC6"/>
    <w:rsid w:val="006A61C8"/>
    <w:rsid w:val="006B0B81"/>
    <w:rsid w:val="006B171F"/>
    <w:rsid w:val="006B19D9"/>
    <w:rsid w:val="006B1F3D"/>
    <w:rsid w:val="006B2779"/>
    <w:rsid w:val="006B2FEB"/>
    <w:rsid w:val="006B6AC1"/>
    <w:rsid w:val="006C2054"/>
    <w:rsid w:val="006C2308"/>
    <w:rsid w:val="006C741E"/>
    <w:rsid w:val="006D0625"/>
    <w:rsid w:val="006D1B2D"/>
    <w:rsid w:val="006D1D73"/>
    <w:rsid w:val="006D1E5A"/>
    <w:rsid w:val="006D21B9"/>
    <w:rsid w:val="006D3EF7"/>
    <w:rsid w:val="006D5CD4"/>
    <w:rsid w:val="006D7919"/>
    <w:rsid w:val="006E3233"/>
    <w:rsid w:val="006E3C2E"/>
    <w:rsid w:val="006E48C0"/>
    <w:rsid w:val="006E53F0"/>
    <w:rsid w:val="006E74DC"/>
    <w:rsid w:val="006F13E8"/>
    <w:rsid w:val="006F270F"/>
    <w:rsid w:val="006F2968"/>
    <w:rsid w:val="006F3FD9"/>
    <w:rsid w:val="006F7FB5"/>
    <w:rsid w:val="00700115"/>
    <w:rsid w:val="007006CD"/>
    <w:rsid w:val="007007C2"/>
    <w:rsid w:val="00700C28"/>
    <w:rsid w:val="00701A2C"/>
    <w:rsid w:val="00701B03"/>
    <w:rsid w:val="00702709"/>
    <w:rsid w:val="00702948"/>
    <w:rsid w:val="00703528"/>
    <w:rsid w:val="00704724"/>
    <w:rsid w:val="00706C70"/>
    <w:rsid w:val="00707B96"/>
    <w:rsid w:val="00710029"/>
    <w:rsid w:val="00714358"/>
    <w:rsid w:val="00716EB9"/>
    <w:rsid w:val="00716FB2"/>
    <w:rsid w:val="0072262F"/>
    <w:rsid w:val="00726A2D"/>
    <w:rsid w:val="00726EFE"/>
    <w:rsid w:val="00727349"/>
    <w:rsid w:val="007337ED"/>
    <w:rsid w:val="00736BCF"/>
    <w:rsid w:val="00737AB8"/>
    <w:rsid w:val="00737AC5"/>
    <w:rsid w:val="007409ED"/>
    <w:rsid w:val="007413CE"/>
    <w:rsid w:val="007464C6"/>
    <w:rsid w:val="007468E1"/>
    <w:rsid w:val="00747C86"/>
    <w:rsid w:val="00747CF7"/>
    <w:rsid w:val="007505AB"/>
    <w:rsid w:val="00751203"/>
    <w:rsid w:val="00753377"/>
    <w:rsid w:val="00755763"/>
    <w:rsid w:val="0075599C"/>
    <w:rsid w:val="00755F00"/>
    <w:rsid w:val="007565AD"/>
    <w:rsid w:val="007568BE"/>
    <w:rsid w:val="0075779E"/>
    <w:rsid w:val="007618F5"/>
    <w:rsid w:val="00761BE2"/>
    <w:rsid w:val="0076259B"/>
    <w:rsid w:val="00763079"/>
    <w:rsid w:val="00763E8B"/>
    <w:rsid w:val="00764215"/>
    <w:rsid w:val="00765627"/>
    <w:rsid w:val="0076624B"/>
    <w:rsid w:val="0076696D"/>
    <w:rsid w:val="0076710D"/>
    <w:rsid w:val="007703BB"/>
    <w:rsid w:val="00770D40"/>
    <w:rsid w:val="0077121B"/>
    <w:rsid w:val="00773273"/>
    <w:rsid w:val="00773DA3"/>
    <w:rsid w:val="00774CED"/>
    <w:rsid w:val="00775744"/>
    <w:rsid w:val="007807EB"/>
    <w:rsid w:val="0078113F"/>
    <w:rsid w:val="00781FA5"/>
    <w:rsid w:val="0078214D"/>
    <w:rsid w:val="00782263"/>
    <w:rsid w:val="00785B43"/>
    <w:rsid w:val="007866B0"/>
    <w:rsid w:val="0079078D"/>
    <w:rsid w:val="007942AD"/>
    <w:rsid w:val="00794D72"/>
    <w:rsid w:val="00795196"/>
    <w:rsid w:val="00797787"/>
    <w:rsid w:val="007A011A"/>
    <w:rsid w:val="007A10C9"/>
    <w:rsid w:val="007A45CC"/>
    <w:rsid w:val="007A5702"/>
    <w:rsid w:val="007A59C7"/>
    <w:rsid w:val="007A59C8"/>
    <w:rsid w:val="007A5D65"/>
    <w:rsid w:val="007A6CE1"/>
    <w:rsid w:val="007B0613"/>
    <w:rsid w:val="007B2F35"/>
    <w:rsid w:val="007B5052"/>
    <w:rsid w:val="007C1183"/>
    <w:rsid w:val="007C324E"/>
    <w:rsid w:val="007C339D"/>
    <w:rsid w:val="007C47DD"/>
    <w:rsid w:val="007C4919"/>
    <w:rsid w:val="007C4F6E"/>
    <w:rsid w:val="007D081A"/>
    <w:rsid w:val="007D145D"/>
    <w:rsid w:val="007D3464"/>
    <w:rsid w:val="007D647A"/>
    <w:rsid w:val="007D77CA"/>
    <w:rsid w:val="007D7885"/>
    <w:rsid w:val="007E29E0"/>
    <w:rsid w:val="007E2C06"/>
    <w:rsid w:val="007E39B9"/>
    <w:rsid w:val="007E39F3"/>
    <w:rsid w:val="007E3A35"/>
    <w:rsid w:val="007F0750"/>
    <w:rsid w:val="007F1116"/>
    <w:rsid w:val="007F20E3"/>
    <w:rsid w:val="007F436C"/>
    <w:rsid w:val="007F4C01"/>
    <w:rsid w:val="007F7E0B"/>
    <w:rsid w:val="00801C48"/>
    <w:rsid w:val="00803778"/>
    <w:rsid w:val="008042F3"/>
    <w:rsid w:val="00804625"/>
    <w:rsid w:val="00805D70"/>
    <w:rsid w:val="00805F90"/>
    <w:rsid w:val="00807330"/>
    <w:rsid w:val="008166B7"/>
    <w:rsid w:val="008168AF"/>
    <w:rsid w:val="0082086E"/>
    <w:rsid w:val="00821AF5"/>
    <w:rsid w:val="008225FC"/>
    <w:rsid w:val="00822D72"/>
    <w:rsid w:val="0082300D"/>
    <w:rsid w:val="008246EB"/>
    <w:rsid w:val="00824E08"/>
    <w:rsid w:val="008266CB"/>
    <w:rsid w:val="00827E45"/>
    <w:rsid w:val="00830260"/>
    <w:rsid w:val="00831BA7"/>
    <w:rsid w:val="008323A7"/>
    <w:rsid w:val="00833481"/>
    <w:rsid w:val="00833A68"/>
    <w:rsid w:val="00834534"/>
    <w:rsid w:val="0083530B"/>
    <w:rsid w:val="008365D8"/>
    <w:rsid w:val="00836BA3"/>
    <w:rsid w:val="00841543"/>
    <w:rsid w:val="008416C9"/>
    <w:rsid w:val="008416CF"/>
    <w:rsid w:val="0084181E"/>
    <w:rsid w:val="008428D6"/>
    <w:rsid w:val="00844E32"/>
    <w:rsid w:val="00845CF0"/>
    <w:rsid w:val="008476D1"/>
    <w:rsid w:val="008506E5"/>
    <w:rsid w:val="00850B61"/>
    <w:rsid w:val="00852407"/>
    <w:rsid w:val="0085255C"/>
    <w:rsid w:val="0085522E"/>
    <w:rsid w:val="0085530D"/>
    <w:rsid w:val="0086339C"/>
    <w:rsid w:val="008645F4"/>
    <w:rsid w:val="0086519E"/>
    <w:rsid w:val="008665DA"/>
    <w:rsid w:val="00871040"/>
    <w:rsid w:val="0087413E"/>
    <w:rsid w:val="00876582"/>
    <w:rsid w:val="0087732B"/>
    <w:rsid w:val="00881AEE"/>
    <w:rsid w:val="008827B6"/>
    <w:rsid w:val="0088368D"/>
    <w:rsid w:val="00884793"/>
    <w:rsid w:val="00886A45"/>
    <w:rsid w:val="008910F2"/>
    <w:rsid w:val="00891D86"/>
    <w:rsid w:val="0089731E"/>
    <w:rsid w:val="008A057C"/>
    <w:rsid w:val="008A0BD2"/>
    <w:rsid w:val="008A1BA0"/>
    <w:rsid w:val="008A2D29"/>
    <w:rsid w:val="008A4196"/>
    <w:rsid w:val="008A5585"/>
    <w:rsid w:val="008A69A4"/>
    <w:rsid w:val="008A71D9"/>
    <w:rsid w:val="008B089E"/>
    <w:rsid w:val="008B1F42"/>
    <w:rsid w:val="008B2BC2"/>
    <w:rsid w:val="008C0831"/>
    <w:rsid w:val="008C2236"/>
    <w:rsid w:val="008C27DC"/>
    <w:rsid w:val="008C355F"/>
    <w:rsid w:val="008C69BA"/>
    <w:rsid w:val="008C710C"/>
    <w:rsid w:val="008D06B9"/>
    <w:rsid w:val="008D5563"/>
    <w:rsid w:val="008D59F4"/>
    <w:rsid w:val="008D5CDB"/>
    <w:rsid w:val="008E03BC"/>
    <w:rsid w:val="008E082A"/>
    <w:rsid w:val="008E08D5"/>
    <w:rsid w:val="008E36C4"/>
    <w:rsid w:val="008E4602"/>
    <w:rsid w:val="008E4C0E"/>
    <w:rsid w:val="008E5B47"/>
    <w:rsid w:val="008E6AEA"/>
    <w:rsid w:val="008E7B1E"/>
    <w:rsid w:val="008E7F90"/>
    <w:rsid w:val="008F0246"/>
    <w:rsid w:val="008F1652"/>
    <w:rsid w:val="008F252B"/>
    <w:rsid w:val="008F3694"/>
    <w:rsid w:val="00900583"/>
    <w:rsid w:val="009044DD"/>
    <w:rsid w:val="00905D6C"/>
    <w:rsid w:val="00905E30"/>
    <w:rsid w:val="00907C01"/>
    <w:rsid w:val="00911ADD"/>
    <w:rsid w:val="00911CEF"/>
    <w:rsid w:val="00914CF5"/>
    <w:rsid w:val="009151F9"/>
    <w:rsid w:val="00915A94"/>
    <w:rsid w:val="00915B31"/>
    <w:rsid w:val="00917802"/>
    <w:rsid w:val="00921344"/>
    <w:rsid w:val="00922204"/>
    <w:rsid w:val="009244C7"/>
    <w:rsid w:val="0092635C"/>
    <w:rsid w:val="00926FD0"/>
    <w:rsid w:val="009303C3"/>
    <w:rsid w:val="009309FE"/>
    <w:rsid w:val="009337A4"/>
    <w:rsid w:val="00933AEF"/>
    <w:rsid w:val="0093546A"/>
    <w:rsid w:val="0093581C"/>
    <w:rsid w:val="00937184"/>
    <w:rsid w:val="00937C4F"/>
    <w:rsid w:val="00940863"/>
    <w:rsid w:val="0094125A"/>
    <w:rsid w:val="00941588"/>
    <w:rsid w:val="00941A78"/>
    <w:rsid w:val="00942172"/>
    <w:rsid w:val="009434AB"/>
    <w:rsid w:val="009435EC"/>
    <w:rsid w:val="00943E1C"/>
    <w:rsid w:val="009464EC"/>
    <w:rsid w:val="009473D8"/>
    <w:rsid w:val="00950554"/>
    <w:rsid w:val="00950575"/>
    <w:rsid w:val="009518BD"/>
    <w:rsid w:val="009535FB"/>
    <w:rsid w:val="0095384A"/>
    <w:rsid w:val="00956DFD"/>
    <w:rsid w:val="009606B1"/>
    <w:rsid w:val="009630F3"/>
    <w:rsid w:val="0096335D"/>
    <w:rsid w:val="00963670"/>
    <w:rsid w:val="0096464C"/>
    <w:rsid w:val="00964CE7"/>
    <w:rsid w:val="0096606B"/>
    <w:rsid w:val="0096609A"/>
    <w:rsid w:val="009700C9"/>
    <w:rsid w:val="00970DA1"/>
    <w:rsid w:val="00971FCE"/>
    <w:rsid w:val="00972346"/>
    <w:rsid w:val="00972D26"/>
    <w:rsid w:val="0097324E"/>
    <w:rsid w:val="009803CC"/>
    <w:rsid w:val="00980614"/>
    <w:rsid w:val="00981366"/>
    <w:rsid w:val="0098345A"/>
    <w:rsid w:val="00985869"/>
    <w:rsid w:val="00986AC5"/>
    <w:rsid w:val="00991AA5"/>
    <w:rsid w:val="00993ADF"/>
    <w:rsid w:val="00993EED"/>
    <w:rsid w:val="00993FE3"/>
    <w:rsid w:val="00994242"/>
    <w:rsid w:val="0099507A"/>
    <w:rsid w:val="00995271"/>
    <w:rsid w:val="00996E90"/>
    <w:rsid w:val="009A105F"/>
    <w:rsid w:val="009A1F4A"/>
    <w:rsid w:val="009A5A9E"/>
    <w:rsid w:val="009A5B99"/>
    <w:rsid w:val="009A7FDD"/>
    <w:rsid w:val="009B42E9"/>
    <w:rsid w:val="009B449B"/>
    <w:rsid w:val="009B61AB"/>
    <w:rsid w:val="009B68C3"/>
    <w:rsid w:val="009B6D7B"/>
    <w:rsid w:val="009C4991"/>
    <w:rsid w:val="009D0015"/>
    <w:rsid w:val="009D0919"/>
    <w:rsid w:val="009D1755"/>
    <w:rsid w:val="009D5E06"/>
    <w:rsid w:val="009D647B"/>
    <w:rsid w:val="009D75A6"/>
    <w:rsid w:val="009D764F"/>
    <w:rsid w:val="009D786D"/>
    <w:rsid w:val="009D790B"/>
    <w:rsid w:val="009D7D63"/>
    <w:rsid w:val="009E17F5"/>
    <w:rsid w:val="009E2988"/>
    <w:rsid w:val="009E2A9D"/>
    <w:rsid w:val="009E3103"/>
    <w:rsid w:val="009E314B"/>
    <w:rsid w:val="009E3D14"/>
    <w:rsid w:val="009E5944"/>
    <w:rsid w:val="009E5CE2"/>
    <w:rsid w:val="009E6A71"/>
    <w:rsid w:val="009E6C70"/>
    <w:rsid w:val="009F04DF"/>
    <w:rsid w:val="009F0597"/>
    <w:rsid w:val="009F14B7"/>
    <w:rsid w:val="009F237E"/>
    <w:rsid w:val="009F24E4"/>
    <w:rsid w:val="00A0170E"/>
    <w:rsid w:val="00A01859"/>
    <w:rsid w:val="00A0199E"/>
    <w:rsid w:val="00A03000"/>
    <w:rsid w:val="00A067D4"/>
    <w:rsid w:val="00A07622"/>
    <w:rsid w:val="00A14C9F"/>
    <w:rsid w:val="00A1708A"/>
    <w:rsid w:val="00A17A77"/>
    <w:rsid w:val="00A22498"/>
    <w:rsid w:val="00A22CC9"/>
    <w:rsid w:val="00A249FF"/>
    <w:rsid w:val="00A25BE8"/>
    <w:rsid w:val="00A267D3"/>
    <w:rsid w:val="00A26CBD"/>
    <w:rsid w:val="00A275C9"/>
    <w:rsid w:val="00A27847"/>
    <w:rsid w:val="00A30735"/>
    <w:rsid w:val="00A315F5"/>
    <w:rsid w:val="00A33C18"/>
    <w:rsid w:val="00A33F7E"/>
    <w:rsid w:val="00A34C60"/>
    <w:rsid w:val="00A377BC"/>
    <w:rsid w:val="00A4103D"/>
    <w:rsid w:val="00A42922"/>
    <w:rsid w:val="00A44F5C"/>
    <w:rsid w:val="00A47919"/>
    <w:rsid w:val="00A509D3"/>
    <w:rsid w:val="00A50D25"/>
    <w:rsid w:val="00A50DED"/>
    <w:rsid w:val="00A51633"/>
    <w:rsid w:val="00A52318"/>
    <w:rsid w:val="00A548D9"/>
    <w:rsid w:val="00A60120"/>
    <w:rsid w:val="00A602F9"/>
    <w:rsid w:val="00A60BE7"/>
    <w:rsid w:val="00A6202E"/>
    <w:rsid w:val="00A626F8"/>
    <w:rsid w:val="00A64486"/>
    <w:rsid w:val="00A6448D"/>
    <w:rsid w:val="00A644A7"/>
    <w:rsid w:val="00A64C8D"/>
    <w:rsid w:val="00A65C88"/>
    <w:rsid w:val="00A663FA"/>
    <w:rsid w:val="00A66FC4"/>
    <w:rsid w:val="00A70330"/>
    <w:rsid w:val="00A70DCF"/>
    <w:rsid w:val="00A73288"/>
    <w:rsid w:val="00A752F7"/>
    <w:rsid w:val="00A75D33"/>
    <w:rsid w:val="00A77B71"/>
    <w:rsid w:val="00A80484"/>
    <w:rsid w:val="00A82270"/>
    <w:rsid w:val="00A8267C"/>
    <w:rsid w:val="00A83980"/>
    <w:rsid w:val="00A83BD9"/>
    <w:rsid w:val="00A84F1E"/>
    <w:rsid w:val="00A85875"/>
    <w:rsid w:val="00A86B5E"/>
    <w:rsid w:val="00A86E99"/>
    <w:rsid w:val="00A875EF"/>
    <w:rsid w:val="00A91A62"/>
    <w:rsid w:val="00A91DF2"/>
    <w:rsid w:val="00A92090"/>
    <w:rsid w:val="00A95F23"/>
    <w:rsid w:val="00AA12DC"/>
    <w:rsid w:val="00AA13D4"/>
    <w:rsid w:val="00AA2A2E"/>
    <w:rsid w:val="00AA35B7"/>
    <w:rsid w:val="00AA4531"/>
    <w:rsid w:val="00AA71DC"/>
    <w:rsid w:val="00AB0107"/>
    <w:rsid w:val="00AB04F8"/>
    <w:rsid w:val="00AB2093"/>
    <w:rsid w:val="00AB27B6"/>
    <w:rsid w:val="00AB2A41"/>
    <w:rsid w:val="00AB520F"/>
    <w:rsid w:val="00AB568A"/>
    <w:rsid w:val="00AB5BF6"/>
    <w:rsid w:val="00AC5761"/>
    <w:rsid w:val="00AC6879"/>
    <w:rsid w:val="00AD127A"/>
    <w:rsid w:val="00AD4267"/>
    <w:rsid w:val="00AD54E5"/>
    <w:rsid w:val="00AD5BF1"/>
    <w:rsid w:val="00AD6697"/>
    <w:rsid w:val="00AD6B1A"/>
    <w:rsid w:val="00AD78FA"/>
    <w:rsid w:val="00AE0F93"/>
    <w:rsid w:val="00AE3343"/>
    <w:rsid w:val="00AE3FEE"/>
    <w:rsid w:val="00AE40A3"/>
    <w:rsid w:val="00AE44BB"/>
    <w:rsid w:val="00AE48DD"/>
    <w:rsid w:val="00AE5303"/>
    <w:rsid w:val="00AE5D89"/>
    <w:rsid w:val="00AE6741"/>
    <w:rsid w:val="00AF0D33"/>
    <w:rsid w:val="00AF0F3F"/>
    <w:rsid w:val="00AF1C66"/>
    <w:rsid w:val="00AF50CE"/>
    <w:rsid w:val="00B008B6"/>
    <w:rsid w:val="00B00978"/>
    <w:rsid w:val="00B02799"/>
    <w:rsid w:val="00B02DFA"/>
    <w:rsid w:val="00B110C4"/>
    <w:rsid w:val="00B126E0"/>
    <w:rsid w:val="00B1278D"/>
    <w:rsid w:val="00B1596A"/>
    <w:rsid w:val="00B15DD8"/>
    <w:rsid w:val="00B16152"/>
    <w:rsid w:val="00B17158"/>
    <w:rsid w:val="00B22123"/>
    <w:rsid w:val="00B232F4"/>
    <w:rsid w:val="00B23B98"/>
    <w:rsid w:val="00B23E97"/>
    <w:rsid w:val="00B23ECC"/>
    <w:rsid w:val="00B27778"/>
    <w:rsid w:val="00B27D0E"/>
    <w:rsid w:val="00B311D6"/>
    <w:rsid w:val="00B3126F"/>
    <w:rsid w:val="00B34DC9"/>
    <w:rsid w:val="00B35E41"/>
    <w:rsid w:val="00B37111"/>
    <w:rsid w:val="00B37291"/>
    <w:rsid w:val="00B42A91"/>
    <w:rsid w:val="00B43506"/>
    <w:rsid w:val="00B44991"/>
    <w:rsid w:val="00B4571F"/>
    <w:rsid w:val="00B468C0"/>
    <w:rsid w:val="00B50215"/>
    <w:rsid w:val="00B50DFE"/>
    <w:rsid w:val="00B52E0F"/>
    <w:rsid w:val="00B534DE"/>
    <w:rsid w:val="00B553AB"/>
    <w:rsid w:val="00B55748"/>
    <w:rsid w:val="00B55A2D"/>
    <w:rsid w:val="00B56014"/>
    <w:rsid w:val="00B569F6"/>
    <w:rsid w:val="00B572AC"/>
    <w:rsid w:val="00B57C8C"/>
    <w:rsid w:val="00B624CC"/>
    <w:rsid w:val="00B639FA"/>
    <w:rsid w:val="00B63DC3"/>
    <w:rsid w:val="00B66140"/>
    <w:rsid w:val="00B675BC"/>
    <w:rsid w:val="00B67DB3"/>
    <w:rsid w:val="00B67FCB"/>
    <w:rsid w:val="00B706C1"/>
    <w:rsid w:val="00B70707"/>
    <w:rsid w:val="00B70CDF"/>
    <w:rsid w:val="00B71138"/>
    <w:rsid w:val="00B72955"/>
    <w:rsid w:val="00B72D1D"/>
    <w:rsid w:val="00B72E58"/>
    <w:rsid w:val="00B74B05"/>
    <w:rsid w:val="00B7526C"/>
    <w:rsid w:val="00B7711C"/>
    <w:rsid w:val="00B7777F"/>
    <w:rsid w:val="00B80602"/>
    <w:rsid w:val="00B810D2"/>
    <w:rsid w:val="00B81EF1"/>
    <w:rsid w:val="00B83121"/>
    <w:rsid w:val="00B8353B"/>
    <w:rsid w:val="00B83A84"/>
    <w:rsid w:val="00B8465C"/>
    <w:rsid w:val="00B852EF"/>
    <w:rsid w:val="00B8568B"/>
    <w:rsid w:val="00B85911"/>
    <w:rsid w:val="00B912BD"/>
    <w:rsid w:val="00B923C1"/>
    <w:rsid w:val="00B93204"/>
    <w:rsid w:val="00B94153"/>
    <w:rsid w:val="00B954E0"/>
    <w:rsid w:val="00B95FB4"/>
    <w:rsid w:val="00B96CE6"/>
    <w:rsid w:val="00BA05AB"/>
    <w:rsid w:val="00BB4362"/>
    <w:rsid w:val="00BB75E5"/>
    <w:rsid w:val="00BB7DAB"/>
    <w:rsid w:val="00BC2DC3"/>
    <w:rsid w:val="00BC3C69"/>
    <w:rsid w:val="00BC49C5"/>
    <w:rsid w:val="00BC706A"/>
    <w:rsid w:val="00BC739F"/>
    <w:rsid w:val="00BD1CAD"/>
    <w:rsid w:val="00BD2522"/>
    <w:rsid w:val="00BD2543"/>
    <w:rsid w:val="00BD5971"/>
    <w:rsid w:val="00BD7102"/>
    <w:rsid w:val="00BE0811"/>
    <w:rsid w:val="00BE0E4A"/>
    <w:rsid w:val="00BE19B2"/>
    <w:rsid w:val="00BE2191"/>
    <w:rsid w:val="00BE2580"/>
    <w:rsid w:val="00BE35D4"/>
    <w:rsid w:val="00BE4FC0"/>
    <w:rsid w:val="00BE6BCD"/>
    <w:rsid w:val="00BF076F"/>
    <w:rsid w:val="00BF0FD2"/>
    <w:rsid w:val="00BF1AF5"/>
    <w:rsid w:val="00BF1DF3"/>
    <w:rsid w:val="00BF2975"/>
    <w:rsid w:val="00BF2F3B"/>
    <w:rsid w:val="00BF3355"/>
    <w:rsid w:val="00BF33C0"/>
    <w:rsid w:val="00BF373E"/>
    <w:rsid w:val="00BF3ACE"/>
    <w:rsid w:val="00BF584F"/>
    <w:rsid w:val="00BF5AA5"/>
    <w:rsid w:val="00BF739D"/>
    <w:rsid w:val="00C045F3"/>
    <w:rsid w:val="00C04FD6"/>
    <w:rsid w:val="00C057F3"/>
    <w:rsid w:val="00C06987"/>
    <w:rsid w:val="00C0699A"/>
    <w:rsid w:val="00C073A5"/>
    <w:rsid w:val="00C1041B"/>
    <w:rsid w:val="00C1222F"/>
    <w:rsid w:val="00C137B4"/>
    <w:rsid w:val="00C14615"/>
    <w:rsid w:val="00C1721F"/>
    <w:rsid w:val="00C232CB"/>
    <w:rsid w:val="00C27344"/>
    <w:rsid w:val="00C27C5C"/>
    <w:rsid w:val="00C3049A"/>
    <w:rsid w:val="00C31C51"/>
    <w:rsid w:val="00C324B5"/>
    <w:rsid w:val="00C32695"/>
    <w:rsid w:val="00C32712"/>
    <w:rsid w:val="00C334D4"/>
    <w:rsid w:val="00C33766"/>
    <w:rsid w:val="00C34297"/>
    <w:rsid w:val="00C35D16"/>
    <w:rsid w:val="00C37E79"/>
    <w:rsid w:val="00C42527"/>
    <w:rsid w:val="00C43442"/>
    <w:rsid w:val="00C43FE3"/>
    <w:rsid w:val="00C44605"/>
    <w:rsid w:val="00C44E4B"/>
    <w:rsid w:val="00C46DFF"/>
    <w:rsid w:val="00C472AA"/>
    <w:rsid w:val="00C5250D"/>
    <w:rsid w:val="00C532CC"/>
    <w:rsid w:val="00C534A9"/>
    <w:rsid w:val="00C53A89"/>
    <w:rsid w:val="00C5475C"/>
    <w:rsid w:val="00C54C2E"/>
    <w:rsid w:val="00C57A8A"/>
    <w:rsid w:val="00C60C70"/>
    <w:rsid w:val="00C61328"/>
    <w:rsid w:val="00C63B56"/>
    <w:rsid w:val="00C6594F"/>
    <w:rsid w:val="00C66781"/>
    <w:rsid w:val="00C66AD6"/>
    <w:rsid w:val="00C670CD"/>
    <w:rsid w:val="00C7005E"/>
    <w:rsid w:val="00C70A17"/>
    <w:rsid w:val="00C7104F"/>
    <w:rsid w:val="00C71D66"/>
    <w:rsid w:val="00C71DD6"/>
    <w:rsid w:val="00C733A7"/>
    <w:rsid w:val="00C76544"/>
    <w:rsid w:val="00C76ADD"/>
    <w:rsid w:val="00C76E1D"/>
    <w:rsid w:val="00C771A0"/>
    <w:rsid w:val="00C77826"/>
    <w:rsid w:val="00C81A0E"/>
    <w:rsid w:val="00C81B50"/>
    <w:rsid w:val="00C81DDE"/>
    <w:rsid w:val="00C82EB0"/>
    <w:rsid w:val="00C8637E"/>
    <w:rsid w:val="00C911B0"/>
    <w:rsid w:val="00C92013"/>
    <w:rsid w:val="00C942FE"/>
    <w:rsid w:val="00C96134"/>
    <w:rsid w:val="00C9694E"/>
    <w:rsid w:val="00C9721E"/>
    <w:rsid w:val="00CA0F42"/>
    <w:rsid w:val="00CA1878"/>
    <w:rsid w:val="00CA2BBD"/>
    <w:rsid w:val="00CA52AF"/>
    <w:rsid w:val="00CA6EDF"/>
    <w:rsid w:val="00CA71CF"/>
    <w:rsid w:val="00CB1E23"/>
    <w:rsid w:val="00CB36FB"/>
    <w:rsid w:val="00CB38B4"/>
    <w:rsid w:val="00CB54BA"/>
    <w:rsid w:val="00CB605C"/>
    <w:rsid w:val="00CB60E1"/>
    <w:rsid w:val="00CB734D"/>
    <w:rsid w:val="00CB76BE"/>
    <w:rsid w:val="00CC197F"/>
    <w:rsid w:val="00CC3852"/>
    <w:rsid w:val="00CC4848"/>
    <w:rsid w:val="00CC6A48"/>
    <w:rsid w:val="00CC736A"/>
    <w:rsid w:val="00CD06D6"/>
    <w:rsid w:val="00CD0EA2"/>
    <w:rsid w:val="00CD3306"/>
    <w:rsid w:val="00CD6C27"/>
    <w:rsid w:val="00CE34CF"/>
    <w:rsid w:val="00CE5428"/>
    <w:rsid w:val="00CE6FED"/>
    <w:rsid w:val="00CF2C87"/>
    <w:rsid w:val="00CF42FF"/>
    <w:rsid w:val="00CF4D23"/>
    <w:rsid w:val="00CF6499"/>
    <w:rsid w:val="00CF6D39"/>
    <w:rsid w:val="00CF7029"/>
    <w:rsid w:val="00D006FC"/>
    <w:rsid w:val="00D0345A"/>
    <w:rsid w:val="00D03F92"/>
    <w:rsid w:val="00D04CE6"/>
    <w:rsid w:val="00D05CE5"/>
    <w:rsid w:val="00D05D70"/>
    <w:rsid w:val="00D107BD"/>
    <w:rsid w:val="00D12058"/>
    <w:rsid w:val="00D12E55"/>
    <w:rsid w:val="00D154F5"/>
    <w:rsid w:val="00D21414"/>
    <w:rsid w:val="00D22185"/>
    <w:rsid w:val="00D23A53"/>
    <w:rsid w:val="00D2543B"/>
    <w:rsid w:val="00D2556A"/>
    <w:rsid w:val="00D25CBA"/>
    <w:rsid w:val="00D25E7F"/>
    <w:rsid w:val="00D25FC7"/>
    <w:rsid w:val="00D266DA"/>
    <w:rsid w:val="00D26C32"/>
    <w:rsid w:val="00D272E9"/>
    <w:rsid w:val="00D30679"/>
    <w:rsid w:val="00D307AC"/>
    <w:rsid w:val="00D31742"/>
    <w:rsid w:val="00D33D47"/>
    <w:rsid w:val="00D348C5"/>
    <w:rsid w:val="00D36180"/>
    <w:rsid w:val="00D41B9E"/>
    <w:rsid w:val="00D43721"/>
    <w:rsid w:val="00D44416"/>
    <w:rsid w:val="00D52261"/>
    <w:rsid w:val="00D52F7A"/>
    <w:rsid w:val="00D530DC"/>
    <w:rsid w:val="00D54E7A"/>
    <w:rsid w:val="00D55A1E"/>
    <w:rsid w:val="00D60072"/>
    <w:rsid w:val="00D62EF1"/>
    <w:rsid w:val="00D63924"/>
    <w:rsid w:val="00D639EF"/>
    <w:rsid w:val="00D63DDE"/>
    <w:rsid w:val="00D652C6"/>
    <w:rsid w:val="00D654C9"/>
    <w:rsid w:val="00D7188F"/>
    <w:rsid w:val="00D7287F"/>
    <w:rsid w:val="00D7405A"/>
    <w:rsid w:val="00D74AEB"/>
    <w:rsid w:val="00D75314"/>
    <w:rsid w:val="00D75B86"/>
    <w:rsid w:val="00D77D2E"/>
    <w:rsid w:val="00D77E76"/>
    <w:rsid w:val="00D80786"/>
    <w:rsid w:val="00D815A3"/>
    <w:rsid w:val="00D81BE5"/>
    <w:rsid w:val="00D82CBD"/>
    <w:rsid w:val="00D82CC9"/>
    <w:rsid w:val="00D85556"/>
    <w:rsid w:val="00D85DA1"/>
    <w:rsid w:val="00D869C9"/>
    <w:rsid w:val="00D87E31"/>
    <w:rsid w:val="00D911F9"/>
    <w:rsid w:val="00D91EAA"/>
    <w:rsid w:val="00D92020"/>
    <w:rsid w:val="00D927E2"/>
    <w:rsid w:val="00D96F2A"/>
    <w:rsid w:val="00D97308"/>
    <w:rsid w:val="00DA3276"/>
    <w:rsid w:val="00DA41B4"/>
    <w:rsid w:val="00DA592F"/>
    <w:rsid w:val="00DA5956"/>
    <w:rsid w:val="00DA663A"/>
    <w:rsid w:val="00DA679B"/>
    <w:rsid w:val="00DB0076"/>
    <w:rsid w:val="00DB0D39"/>
    <w:rsid w:val="00DB1AAC"/>
    <w:rsid w:val="00DB2085"/>
    <w:rsid w:val="00DB483B"/>
    <w:rsid w:val="00DB48AF"/>
    <w:rsid w:val="00DB59F9"/>
    <w:rsid w:val="00DC25FB"/>
    <w:rsid w:val="00DC2619"/>
    <w:rsid w:val="00DC2BE1"/>
    <w:rsid w:val="00DC504D"/>
    <w:rsid w:val="00DC6D02"/>
    <w:rsid w:val="00DC7583"/>
    <w:rsid w:val="00DC7EFF"/>
    <w:rsid w:val="00DD058F"/>
    <w:rsid w:val="00DD1464"/>
    <w:rsid w:val="00DD28CA"/>
    <w:rsid w:val="00DD2BC3"/>
    <w:rsid w:val="00DD3525"/>
    <w:rsid w:val="00DD3F99"/>
    <w:rsid w:val="00DD3FDE"/>
    <w:rsid w:val="00DD6D5C"/>
    <w:rsid w:val="00DD6F71"/>
    <w:rsid w:val="00DD7802"/>
    <w:rsid w:val="00DD7EE8"/>
    <w:rsid w:val="00DE1B61"/>
    <w:rsid w:val="00DE4845"/>
    <w:rsid w:val="00DE6F41"/>
    <w:rsid w:val="00DE752E"/>
    <w:rsid w:val="00DF087D"/>
    <w:rsid w:val="00DF1E69"/>
    <w:rsid w:val="00DF262A"/>
    <w:rsid w:val="00DF3C59"/>
    <w:rsid w:val="00DF46E4"/>
    <w:rsid w:val="00DF4D4C"/>
    <w:rsid w:val="00DF4F3F"/>
    <w:rsid w:val="00DF63BC"/>
    <w:rsid w:val="00DF6562"/>
    <w:rsid w:val="00E0020C"/>
    <w:rsid w:val="00E00268"/>
    <w:rsid w:val="00E01271"/>
    <w:rsid w:val="00E013EA"/>
    <w:rsid w:val="00E042BE"/>
    <w:rsid w:val="00E05CF7"/>
    <w:rsid w:val="00E0730A"/>
    <w:rsid w:val="00E11957"/>
    <w:rsid w:val="00E128A6"/>
    <w:rsid w:val="00E12B04"/>
    <w:rsid w:val="00E131CA"/>
    <w:rsid w:val="00E153CC"/>
    <w:rsid w:val="00E15967"/>
    <w:rsid w:val="00E1792F"/>
    <w:rsid w:val="00E212D9"/>
    <w:rsid w:val="00E2158A"/>
    <w:rsid w:val="00E2427A"/>
    <w:rsid w:val="00E24A53"/>
    <w:rsid w:val="00E274C3"/>
    <w:rsid w:val="00E27989"/>
    <w:rsid w:val="00E30193"/>
    <w:rsid w:val="00E30D52"/>
    <w:rsid w:val="00E3145A"/>
    <w:rsid w:val="00E31941"/>
    <w:rsid w:val="00E31C5E"/>
    <w:rsid w:val="00E33C5E"/>
    <w:rsid w:val="00E362F4"/>
    <w:rsid w:val="00E37BAD"/>
    <w:rsid w:val="00E40115"/>
    <w:rsid w:val="00E40A4D"/>
    <w:rsid w:val="00E40EBC"/>
    <w:rsid w:val="00E40F8E"/>
    <w:rsid w:val="00E43416"/>
    <w:rsid w:val="00E46CC9"/>
    <w:rsid w:val="00E5039B"/>
    <w:rsid w:val="00E51CC2"/>
    <w:rsid w:val="00E54AB3"/>
    <w:rsid w:val="00E561F5"/>
    <w:rsid w:val="00E5620C"/>
    <w:rsid w:val="00E5697B"/>
    <w:rsid w:val="00E56BCF"/>
    <w:rsid w:val="00E603BD"/>
    <w:rsid w:val="00E60D06"/>
    <w:rsid w:val="00E617CC"/>
    <w:rsid w:val="00E62440"/>
    <w:rsid w:val="00E6280C"/>
    <w:rsid w:val="00E639C8"/>
    <w:rsid w:val="00E6439D"/>
    <w:rsid w:val="00E64B52"/>
    <w:rsid w:val="00E65271"/>
    <w:rsid w:val="00E66555"/>
    <w:rsid w:val="00E667D6"/>
    <w:rsid w:val="00E70294"/>
    <w:rsid w:val="00E738EB"/>
    <w:rsid w:val="00E764E3"/>
    <w:rsid w:val="00E80702"/>
    <w:rsid w:val="00E83D7D"/>
    <w:rsid w:val="00E84265"/>
    <w:rsid w:val="00E85A5C"/>
    <w:rsid w:val="00E86946"/>
    <w:rsid w:val="00E8717A"/>
    <w:rsid w:val="00E9135F"/>
    <w:rsid w:val="00E93E34"/>
    <w:rsid w:val="00E9417B"/>
    <w:rsid w:val="00E95004"/>
    <w:rsid w:val="00E9547F"/>
    <w:rsid w:val="00E963CA"/>
    <w:rsid w:val="00E963DA"/>
    <w:rsid w:val="00E97F9A"/>
    <w:rsid w:val="00EA265E"/>
    <w:rsid w:val="00EA399E"/>
    <w:rsid w:val="00EA49BA"/>
    <w:rsid w:val="00EA69E8"/>
    <w:rsid w:val="00EA6AAA"/>
    <w:rsid w:val="00EA7879"/>
    <w:rsid w:val="00EB084A"/>
    <w:rsid w:val="00EB1AE7"/>
    <w:rsid w:val="00EB627D"/>
    <w:rsid w:val="00EB6EB9"/>
    <w:rsid w:val="00EC0F1A"/>
    <w:rsid w:val="00EC1922"/>
    <w:rsid w:val="00EC1C5D"/>
    <w:rsid w:val="00EC3CD3"/>
    <w:rsid w:val="00EC6653"/>
    <w:rsid w:val="00ED0302"/>
    <w:rsid w:val="00ED1089"/>
    <w:rsid w:val="00ED2EFC"/>
    <w:rsid w:val="00ED2FAE"/>
    <w:rsid w:val="00ED391B"/>
    <w:rsid w:val="00ED54D7"/>
    <w:rsid w:val="00ED6E56"/>
    <w:rsid w:val="00ED7C03"/>
    <w:rsid w:val="00EE08FF"/>
    <w:rsid w:val="00EE1199"/>
    <w:rsid w:val="00EE21EC"/>
    <w:rsid w:val="00EE36E6"/>
    <w:rsid w:val="00EE66BF"/>
    <w:rsid w:val="00EF028D"/>
    <w:rsid w:val="00EF048F"/>
    <w:rsid w:val="00F00952"/>
    <w:rsid w:val="00F01AA8"/>
    <w:rsid w:val="00F02F62"/>
    <w:rsid w:val="00F03C3A"/>
    <w:rsid w:val="00F065A7"/>
    <w:rsid w:val="00F073EE"/>
    <w:rsid w:val="00F13779"/>
    <w:rsid w:val="00F139D5"/>
    <w:rsid w:val="00F1582C"/>
    <w:rsid w:val="00F15D90"/>
    <w:rsid w:val="00F164B4"/>
    <w:rsid w:val="00F200E6"/>
    <w:rsid w:val="00F20F16"/>
    <w:rsid w:val="00F25E2F"/>
    <w:rsid w:val="00F3051C"/>
    <w:rsid w:val="00F31628"/>
    <w:rsid w:val="00F3253B"/>
    <w:rsid w:val="00F32544"/>
    <w:rsid w:val="00F363DD"/>
    <w:rsid w:val="00F401BC"/>
    <w:rsid w:val="00F40639"/>
    <w:rsid w:val="00F42041"/>
    <w:rsid w:val="00F5536C"/>
    <w:rsid w:val="00F563EA"/>
    <w:rsid w:val="00F56B81"/>
    <w:rsid w:val="00F578EC"/>
    <w:rsid w:val="00F61B4E"/>
    <w:rsid w:val="00F6411C"/>
    <w:rsid w:val="00F64E7E"/>
    <w:rsid w:val="00F65FB1"/>
    <w:rsid w:val="00F674A8"/>
    <w:rsid w:val="00F7121E"/>
    <w:rsid w:val="00F71BF9"/>
    <w:rsid w:val="00F75209"/>
    <w:rsid w:val="00F75D51"/>
    <w:rsid w:val="00F76678"/>
    <w:rsid w:val="00F81459"/>
    <w:rsid w:val="00F82E8C"/>
    <w:rsid w:val="00F8613A"/>
    <w:rsid w:val="00F86152"/>
    <w:rsid w:val="00F86710"/>
    <w:rsid w:val="00F8674E"/>
    <w:rsid w:val="00F93C51"/>
    <w:rsid w:val="00F94B7D"/>
    <w:rsid w:val="00F960CF"/>
    <w:rsid w:val="00F96142"/>
    <w:rsid w:val="00F962D1"/>
    <w:rsid w:val="00FA25F8"/>
    <w:rsid w:val="00FA2B74"/>
    <w:rsid w:val="00FA44B6"/>
    <w:rsid w:val="00FA5FA2"/>
    <w:rsid w:val="00FA5FF3"/>
    <w:rsid w:val="00FA63A6"/>
    <w:rsid w:val="00FA769C"/>
    <w:rsid w:val="00FB0E2C"/>
    <w:rsid w:val="00FB259B"/>
    <w:rsid w:val="00FB2C2C"/>
    <w:rsid w:val="00FC099A"/>
    <w:rsid w:val="00FC09E9"/>
    <w:rsid w:val="00FC0DA9"/>
    <w:rsid w:val="00FC29A5"/>
    <w:rsid w:val="00FC76FD"/>
    <w:rsid w:val="00FD2053"/>
    <w:rsid w:val="00FD44C5"/>
    <w:rsid w:val="00FD5BBA"/>
    <w:rsid w:val="00FD5E4B"/>
    <w:rsid w:val="00FD643F"/>
    <w:rsid w:val="00FE374E"/>
    <w:rsid w:val="00FE4019"/>
    <w:rsid w:val="00FE4858"/>
    <w:rsid w:val="00FE4FDF"/>
    <w:rsid w:val="00FE507D"/>
    <w:rsid w:val="00FE53A8"/>
    <w:rsid w:val="00FE7B80"/>
    <w:rsid w:val="00FF247F"/>
    <w:rsid w:val="00FF3D7F"/>
    <w:rsid w:val="00FF428E"/>
    <w:rsid w:val="00FF4384"/>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5D"/>
    <w:rPr>
      <w:sz w:val="24"/>
      <w:szCs w:val="24"/>
    </w:rPr>
  </w:style>
  <w:style w:type="paragraph" w:styleId="Heading2">
    <w:name w:val="heading 2"/>
    <w:basedOn w:val="Normal"/>
    <w:link w:val="Heading2Char"/>
    <w:qFormat/>
    <w:rsid w:val="00FC29A5"/>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C29A5"/>
    <w:rPr>
      <w:rFonts w:eastAsia="Calibri"/>
      <w:b/>
      <w:bCs/>
      <w:sz w:val="36"/>
      <w:szCs w:val="36"/>
      <w:lang w:val="en-US" w:eastAsia="en-US" w:bidi="ar-SA"/>
    </w:rPr>
  </w:style>
  <w:style w:type="paragraph" w:styleId="Footer">
    <w:name w:val="footer"/>
    <w:basedOn w:val="Normal"/>
    <w:link w:val="FooterChar"/>
    <w:uiPriority w:val="99"/>
    <w:rsid w:val="006F270F"/>
    <w:pPr>
      <w:tabs>
        <w:tab w:val="center" w:pos="4320"/>
        <w:tab w:val="right" w:pos="8640"/>
      </w:tabs>
    </w:pPr>
  </w:style>
  <w:style w:type="character" w:customStyle="1" w:styleId="FooterChar">
    <w:name w:val="Footer Char"/>
    <w:basedOn w:val="DefaultParagraphFont"/>
    <w:link w:val="Footer"/>
    <w:uiPriority w:val="99"/>
    <w:locked/>
    <w:rsid w:val="00D75314"/>
    <w:rPr>
      <w:sz w:val="24"/>
      <w:szCs w:val="24"/>
      <w:lang w:val="en-US" w:eastAsia="en-US" w:bidi="ar-SA"/>
    </w:rPr>
  </w:style>
  <w:style w:type="character" w:styleId="PageNumber">
    <w:name w:val="page number"/>
    <w:basedOn w:val="DefaultParagraphFont"/>
    <w:rsid w:val="006F270F"/>
  </w:style>
  <w:style w:type="character" w:styleId="Strong">
    <w:name w:val="Strong"/>
    <w:basedOn w:val="DefaultParagraphFont"/>
    <w:uiPriority w:val="22"/>
    <w:qFormat/>
    <w:rsid w:val="00FC29A5"/>
    <w:rPr>
      <w:rFonts w:cs="Times New Roman"/>
      <w:b/>
      <w:bCs/>
    </w:rPr>
  </w:style>
  <w:style w:type="paragraph" w:styleId="FootnoteText">
    <w:name w:val="footnote text"/>
    <w:basedOn w:val="Normal"/>
    <w:link w:val="FootnoteTextChar1"/>
    <w:uiPriority w:val="99"/>
    <w:semiHidden/>
    <w:rsid w:val="00D75314"/>
    <w:rPr>
      <w:rFonts w:ascii="Calibri" w:hAnsi="Calibri"/>
      <w:sz w:val="20"/>
      <w:szCs w:val="20"/>
    </w:rPr>
  </w:style>
  <w:style w:type="character" w:customStyle="1" w:styleId="FootnoteTextChar1">
    <w:name w:val="Footnote Text Char1"/>
    <w:basedOn w:val="DefaultParagraphFont"/>
    <w:link w:val="FootnoteText"/>
    <w:semiHidden/>
    <w:locked/>
    <w:rsid w:val="00D75314"/>
    <w:rPr>
      <w:rFonts w:ascii="Calibri" w:hAnsi="Calibri"/>
      <w:lang w:val="en-US" w:eastAsia="en-US" w:bidi="ar-SA"/>
    </w:rPr>
  </w:style>
  <w:style w:type="character" w:styleId="FootnoteReference">
    <w:name w:val="footnote reference"/>
    <w:basedOn w:val="DefaultParagraphFont"/>
    <w:uiPriority w:val="99"/>
    <w:semiHidden/>
    <w:rsid w:val="00D75314"/>
    <w:rPr>
      <w:rFonts w:cs="Times New Roman"/>
      <w:vertAlign w:val="superscript"/>
    </w:rPr>
  </w:style>
  <w:style w:type="paragraph" w:styleId="PlainText">
    <w:name w:val="Plain Text"/>
    <w:basedOn w:val="Normal"/>
    <w:link w:val="PlainTextChar"/>
    <w:uiPriority w:val="99"/>
    <w:rsid w:val="00D75314"/>
    <w:rPr>
      <w:rFonts w:ascii="Consolas" w:hAnsi="Consolas"/>
      <w:sz w:val="21"/>
      <w:szCs w:val="21"/>
    </w:rPr>
  </w:style>
  <w:style w:type="character" w:customStyle="1" w:styleId="PlainTextChar">
    <w:name w:val="Plain Text Char"/>
    <w:basedOn w:val="DefaultParagraphFont"/>
    <w:link w:val="PlainText"/>
    <w:uiPriority w:val="99"/>
    <w:locked/>
    <w:rsid w:val="00D75314"/>
    <w:rPr>
      <w:rFonts w:ascii="Consolas" w:hAnsi="Consolas"/>
      <w:sz w:val="21"/>
      <w:szCs w:val="21"/>
      <w:lang w:val="en-US" w:eastAsia="en-US" w:bidi="ar-SA"/>
    </w:rPr>
  </w:style>
  <w:style w:type="paragraph" w:styleId="Header">
    <w:name w:val="header"/>
    <w:basedOn w:val="Normal"/>
    <w:link w:val="HeaderChar"/>
    <w:uiPriority w:val="99"/>
    <w:rsid w:val="00D7531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D75314"/>
    <w:rPr>
      <w:rFonts w:ascii="Calibri" w:hAnsi="Calibri"/>
      <w:sz w:val="22"/>
      <w:szCs w:val="22"/>
      <w:lang w:val="en-US" w:eastAsia="en-US" w:bidi="ar-SA"/>
    </w:rPr>
  </w:style>
  <w:style w:type="paragraph" w:styleId="EndnoteText">
    <w:name w:val="endnote text"/>
    <w:basedOn w:val="Normal"/>
    <w:link w:val="EndnoteTextChar"/>
    <w:semiHidden/>
    <w:rsid w:val="00D75314"/>
    <w:rPr>
      <w:rFonts w:ascii="Calibri" w:hAnsi="Calibri"/>
      <w:sz w:val="20"/>
      <w:szCs w:val="20"/>
    </w:rPr>
  </w:style>
  <w:style w:type="character" w:customStyle="1" w:styleId="EndnoteTextChar">
    <w:name w:val="Endnote Text Char"/>
    <w:basedOn w:val="DefaultParagraphFont"/>
    <w:link w:val="EndnoteText"/>
    <w:semiHidden/>
    <w:locked/>
    <w:rsid w:val="00D75314"/>
    <w:rPr>
      <w:rFonts w:ascii="Calibri" w:hAnsi="Calibri"/>
      <w:lang w:val="en-US" w:eastAsia="en-US" w:bidi="ar-SA"/>
    </w:rPr>
  </w:style>
  <w:style w:type="character" w:styleId="Hyperlink">
    <w:name w:val="Hyperlink"/>
    <w:basedOn w:val="DefaultParagraphFont"/>
    <w:rsid w:val="00D75314"/>
    <w:rPr>
      <w:rFonts w:cs="Times New Roman"/>
      <w:color w:val="0000FF"/>
      <w:u w:val="single"/>
    </w:rPr>
  </w:style>
  <w:style w:type="character" w:customStyle="1" w:styleId="FootnoteTextChar">
    <w:name w:val="Footnote Text Char"/>
    <w:basedOn w:val="DefaultParagraphFont"/>
    <w:uiPriority w:val="99"/>
    <w:semiHidden/>
    <w:locked/>
    <w:rsid w:val="0052102F"/>
    <w:rPr>
      <w:rFonts w:cs="Times New Roman"/>
      <w:sz w:val="20"/>
      <w:szCs w:val="20"/>
    </w:rPr>
  </w:style>
  <w:style w:type="paragraph" w:styleId="BalloonText">
    <w:name w:val="Balloon Text"/>
    <w:basedOn w:val="Normal"/>
    <w:link w:val="BalloonTextChar"/>
    <w:uiPriority w:val="99"/>
    <w:rsid w:val="00B85911"/>
    <w:rPr>
      <w:rFonts w:ascii="Tahoma" w:hAnsi="Tahoma" w:cs="Tahoma"/>
      <w:sz w:val="16"/>
      <w:szCs w:val="16"/>
    </w:rPr>
  </w:style>
  <w:style w:type="character" w:customStyle="1" w:styleId="BalloonTextChar">
    <w:name w:val="Balloon Text Char"/>
    <w:basedOn w:val="DefaultParagraphFont"/>
    <w:link w:val="BalloonText"/>
    <w:uiPriority w:val="99"/>
    <w:rsid w:val="00B85911"/>
    <w:rPr>
      <w:rFonts w:ascii="Tahoma" w:hAnsi="Tahoma" w:cs="Tahoma"/>
      <w:sz w:val="16"/>
      <w:szCs w:val="16"/>
    </w:rPr>
  </w:style>
  <w:style w:type="paragraph" w:customStyle="1" w:styleId="Default">
    <w:name w:val="Default"/>
    <w:rsid w:val="00CA1878"/>
    <w:pPr>
      <w:autoSpaceDE w:val="0"/>
      <w:autoSpaceDN w:val="0"/>
      <w:adjustRightInd w:val="0"/>
    </w:pPr>
    <w:rPr>
      <w:rFonts w:eastAsia="Calibri"/>
      <w:color w:val="000000"/>
      <w:sz w:val="24"/>
      <w:szCs w:val="24"/>
    </w:rPr>
  </w:style>
  <w:style w:type="character" w:styleId="EndnoteReference">
    <w:name w:val="endnote reference"/>
    <w:basedOn w:val="DefaultParagraphFont"/>
    <w:rsid w:val="00DB0D39"/>
    <w:rPr>
      <w:vertAlign w:val="superscript"/>
    </w:rPr>
  </w:style>
  <w:style w:type="character" w:styleId="CommentReference">
    <w:name w:val="annotation reference"/>
    <w:basedOn w:val="DefaultParagraphFont"/>
    <w:rsid w:val="007D081A"/>
    <w:rPr>
      <w:sz w:val="16"/>
      <w:szCs w:val="16"/>
    </w:rPr>
  </w:style>
  <w:style w:type="paragraph" w:styleId="CommentText">
    <w:name w:val="annotation text"/>
    <w:basedOn w:val="Normal"/>
    <w:link w:val="CommentTextChar"/>
    <w:rsid w:val="007D081A"/>
    <w:rPr>
      <w:sz w:val="20"/>
      <w:szCs w:val="20"/>
    </w:rPr>
  </w:style>
  <w:style w:type="character" w:customStyle="1" w:styleId="CommentTextChar">
    <w:name w:val="Comment Text Char"/>
    <w:basedOn w:val="DefaultParagraphFont"/>
    <w:link w:val="CommentText"/>
    <w:rsid w:val="007D081A"/>
  </w:style>
  <w:style w:type="paragraph" w:styleId="CommentSubject">
    <w:name w:val="annotation subject"/>
    <w:basedOn w:val="CommentText"/>
    <w:next w:val="CommentText"/>
    <w:link w:val="CommentSubjectChar"/>
    <w:rsid w:val="007D081A"/>
    <w:rPr>
      <w:b/>
      <w:bCs/>
    </w:rPr>
  </w:style>
  <w:style w:type="character" w:customStyle="1" w:styleId="CommentSubjectChar">
    <w:name w:val="Comment Subject Char"/>
    <w:basedOn w:val="CommentTextChar"/>
    <w:link w:val="CommentSubject"/>
    <w:rsid w:val="007D081A"/>
    <w:rPr>
      <w:b/>
      <w:bCs/>
    </w:rPr>
  </w:style>
  <w:style w:type="paragraph" w:styleId="ListParagraph">
    <w:name w:val="List Paragraph"/>
    <w:basedOn w:val="Normal"/>
    <w:uiPriority w:val="34"/>
    <w:qFormat/>
    <w:rsid w:val="0096335D"/>
    <w:pPr>
      <w:ind w:left="720"/>
      <w:contextualSpacing/>
    </w:pPr>
    <w:rPr>
      <w:rFonts w:ascii="Times" w:eastAsiaTheme="minorHAnsi" w:hAnsi="Times"/>
    </w:rPr>
  </w:style>
  <w:style w:type="table" w:styleId="TableGrid">
    <w:name w:val="Table Grid"/>
    <w:basedOn w:val="TableNormal"/>
    <w:uiPriority w:val="59"/>
    <w:rsid w:val="0096335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B02DFA"/>
    <w:rPr>
      <w:rFonts w:ascii="Tahoma" w:hAnsi="Tahoma" w:cs="Tahoma"/>
      <w:sz w:val="16"/>
      <w:szCs w:val="16"/>
    </w:rPr>
  </w:style>
  <w:style w:type="character" w:customStyle="1" w:styleId="DocumentMapChar">
    <w:name w:val="Document Map Char"/>
    <w:basedOn w:val="DefaultParagraphFont"/>
    <w:link w:val="DocumentMap"/>
    <w:rsid w:val="00B02DFA"/>
    <w:rPr>
      <w:rFonts w:ascii="Tahoma" w:hAnsi="Tahoma" w:cs="Tahoma"/>
      <w:sz w:val="16"/>
      <w:szCs w:val="16"/>
    </w:rPr>
  </w:style>
  <w:style w:type="paragraph" w:styleId="Revision">
    <w:name w:val="Revision"/>
    <w:hidden/>
    <w:uiPriority w:val="99"/>
    <w:semiHidden/>
    <w:rsid w:val="00804625"/>
    <w:rPr>
      <w:sz w:val="24"/>
      <w:szCs w:val="24"/>
    </w:rPr>
  </w:style>
  <w:style w:type="character" w:styleId="Emphasis">
    <w:name w:val="Emphasis"/>
    <w:basedOn w:val="DefaultParagraphFont"/>
    <w:qFormat/>
    <w:rsid w:val="00120C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5D"/>
    <w:rPr>
      <w:sz w:val="24"/>
      <w:szCs w:val="24"/>
    </w:rPr>
  </w:style>
  <w:style w:type="paragraph" w:styleId="Heading2">
    <w:name w:val="heading 2"/>
    <w:basedOn w:val="Normal"/>
    <w:link w:val="Heading2Char"/>
    <w:qFormat/>
    <w:rsid w:val="00FC29A5"/>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C29A5"/>
    <w:rPr>
      <w:rFonts w:eastAsia="Calibri"/>
      <w:b/>
      <w:bCs/>
      <w:sz w:val="36"/>
      <w:szCs w:val="36"/>
      <w:lang w:val="en-US" w:eastAsia="en-US" w:bidi="ar-SA"/>
    </w:rPr>
  </w:style>
  <w:style w:type="paragraph" w:styleId="Footer">
    <w:name w:val="footer"/>
    <w:basedOn w:val="Normal"/>
    <w:link w:val="FooterChar"/>
    <w:uiPriority w:val="99"/>
    <w:rsid w:val="006F270F"/>
    <w:pPr>
      <w:tabs>
        <w:tab w:val="center" w:pos="4320"/>
        <w:tab w:val="right" w:pos="8640"/>
      </w:tabs>
    </w:pPr>
  </w:style>
  <w:style w:type="character" w:customStyle="1" w:styleId="FooterChar">
    <w:name w:val="Footer Char"/>
    <w:basedOn w:val="DefaultParagraphFont"/>
    <w:link w:val="Footer"/>
    <w:uiPriority w:val="99"/>
    <w:locked/>
    <w:rsid w:val="00D75314"/>
    <w:rPr>
      <w:sz w:val="24"/>
      <w:szCs w:val="24"/>
      <w:lang w:val="en-US" w:eastAsia="en-US" w:bidi="ar-SA"/>
    </w:rPr>
  </w:style>
  <w:style w:type="character" w:styleId="PageNumber">
    <w:name w:val="page number"/>
    <w:basedOn w:val="DefaultParagraphFont"/>
    <w:rsid w:val="006F270F"/>
  </w:style>
  <w:style w:type="character" w:styleId="Strong">
    <w:name w:val="Strong"/>
    <w:basedOn w:val="DefaultParagraphFont"/>
    <w:uiPriority w:val="22"/>
    <w:qFormat/>
    <w:rsid w:val="00FC29A5"/>
    <w:rPr>
      <w:rFonts w:cs="Times New Roman"/>
      <w:b/>
      <w:bCs/>
    </w:rPr>
  </w:style>
  <w:style w:type="paragraph" w:styleId="FootnoteText">
    <w:name w:val="footnote text"/>
    <w:basedOn w:val="Normal"/>
    <w:link w:val="FootnoteTextChar1"/>
    <w:uiPriority w:val="99"/>
    <w:semiHidden/>
    <w:rsid w:val="00D75314"/>
    <w:rPr>
      <w:rFonts w:ascii="Calibri" w:hAnsi="Calibri"/>
      <w:sz w:val="20"/>
      <w:szCs w:val="20"/>
    </w:rPr>
  </w:style>
  <w:style w:type="character" w:customStyle="1" w:styleId="FootnoteTextChar1">
    <w:name w:val="Footnote Text Char1"/>
    <w:basedOn w:val="DefaultParagraphFont"/>
    <w:link w:val="FootnoteText"/>
    <w:semiHidden/>
    <w:locked/>
    <w:rsid w:val="00D75314"/>
    <w:rPr>
      <w:rFonts w:ascii="Calibri" w:hAnsi="Calibri"/>
      <w:lang w:val="en-US" w:eastAsia="en-US" w:bidi="ar-SA"/>
    </w:rPr>
  </w:style>
  <w:style w:type="character" w:styleId="FootnoteReference">
    <w:name w:val="footnote reference"/>
    <w:basedOn w:val="DefaultParagraphFont"/>
    <w:uiPriority w:val="99"/>
    <w:semiHidden/>
    <w:rsid w:val="00D75314"/>
    <w:rPr>
      <w:rFonts w:cs="Times New Roman"/>
      <w:vertAlign w:val="superscript"/>
    </w:rPr>
  </w:style>
  <w:style w:type="paragraph" w:styleId="PlainText">
    <w:name w:val="Plain Text"/>
    <w:basedOn w:val="Normal"/>
    <w:link w:val="PlainTextChar"/>
    <w:uiPriority w:val="99"/>
    <w:rsid w:val="00D75314"/>
    <w:rPr>
      <w:rFonts w:ascii="Consolas" w:hAnsi="Consolas"/>
      <w:sz w:val="21"/>
      <w:szCs w:val="21"/>
    </w:rPr>
  </w:style>
  <w:style w:type="character" w:customStyle="1" w:styleId="PlainTextChar">
    <w:name w:val="Plain Text Char"/>
    <w:basedOn w:val="DefaultParagraphFont"/>
    <w:link w:val="PlainText"/>
    <w:uiPriority w:val="99"/>
    <w:locked/>
    <w:rsid w:val="00D75314"/>
    <w:rPr>
      <w:rFonts w:ascii="Consolas" w:hAnsi="Consolas"/>
      <w:sz w:val="21"/>
      <w:szCs w:val="21"/>
      <w:lang w:val="en-US" w:eastAsia="en-US" w:bidi="ar-SA"/>
    </w:rPr>
  </w:style>
  <w:style w:type="paragraph" w:styleId="Header">
    <w:name w:val="header"/>
    <w:basedOn w:val="Normal"/>
    <w:link w:val="HeaderChar"/>
    <w:uiPriority w:val="99"/>
    <w:rsid w:val="00D7531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D75314"/>
    <w:rPr>
      <w:rFonts w:ascii="Calibri" w:hAnsi="Calibri"/>
      <w:sz w:val="22"/>
      <w:szCs w:val="22"/>
      <w:lang w:val="en-US" w:eastAsia="en-US" w:bidi="ar-SA"/>
    </w:rPr>
  </w:style>
  <w:style w:type="paragraph" w:styleId="EndnoteText">
    <w:name w:val="endnote text"/>
    <w:basedOn w:val="Normal"/>
    <w:link w:val="EndnoteTextChar"/>
    <w:semiHidden/>
    <w:rsid w:val="00D75314"/>
    <w:rPr>
      <w:rFonts w:ascii="Calibri" w:hAnsi="Calibri"/>
      <w:sz w:val="20"/>
      <w:szCs w:val="20"/>
    </w:rPr>
  </w:style>
  <w:style w:type="character" w:customStyle="1" w:styleId="EndnoteTextChar">
    <w:name w:val="Endnote Text Char"/>
    <w:basedOn w:val="DefaultParagraphFont"/>
    <w:link w:val="EndnoteText"/>
    <w:semiHidden/>
    <w:locked/>
    <w:rsid w:val="00D75314"/>
    <w:rPr>
      <w:rFonts w:ascii="Calibri" w:hAnsi="Calibri"/>
      <w:lang w:val="en-US" w:eastAsia="en-US" w:bidi="ar-SA"/>
    </w:rPr>
  </w:style>
  <w:style w:type="character" w:styleId="Hyperlink">
    <w:name w:val="Hyperlink"/>
    <w:basedOn w:val="DefaultParagraphFont"/>
    <w:rsid w:val="00D75314"/>
    <w:rPr>
      <w:rFonts w:cs="Times New Roman"/>
      <w:color w:val="0000FF"/>
      <w:u w:val="single"/>
    </w:rPr>
  </w:style>
  <w:style w:type="character" w:customStyle="1" w:styleId="FootnoteTextChar">
    <w:name w:val="Footnote Text Char"/>
    <w:basedOn w:val="DefaultParagraphFont"/>
    <w:uiPriority w:val="99"/>
    <w:semiHidden/>
    <w:locked/>
    <w:rsid w:val="0052102F"/>
    <w:rPr>
      <w:rFonts w:cs="Times New Roman"/>
      <w:sz w:val="20"/>
      <w:szCs w:val="20"/>
    </w:rPr>
  </w:style>
  <w:style w:type="paragraph" w:styleId="BalloonText">
    <w:name w:val="Balloon Text"/>
    <w:basedOn w:val="Normal"/>
    <w:link w:val="BalloonTextChar"/>
    <w:uiPriority w:val="99"/>
    <w:rsid w:val="00B85911"/>
    <w:rPr>
      <w:rFonts w:ascii="Tahoma" w:hAnsi="Tahoma" w:cs="Tahoma"/>
      <w:sz w:val="16"/>
      <w:szCs w:val="16"/>
    </w:rPr>
  </w:style>
  <w:style w:type="character" w:customStyle="1" w:styleId="BalloonTextChar">
    <w:name w:val="Balloon Text Char"/>
    <w:basedOn w:val="DefaultParagraphFont"/>
    <w:link w:val="BalloonText"/>
    <w:uiPriority w:val="99"/>
    <w:rsid w:val="00B85911"/>
    <w:rPr>
      <w:rFonts w:ascii="Tahoma" w:hAnsi="Tahoma" w:cs="Tahoma"/>
      <w:sz w:val="16"/>
      <w:szCs w:val="16"/>
    </w:rPr>
  </w:style>
  <w:style w:type="paragraph" w:customStyle="1" w:styleId="Default">
    <w:name w:val="Default"/>
    <w:rsid w:val="00CA1878"/>
    <w:pPr>
      <w:autoSpaceDE w:val="0"/>
      <w:autoSpaceDN w:val="0"/>
      <w:adjustRightInd w:val="0"/>
    </w:pPr>
    <w:rPr>
      <w:rFonts w:eastAsia="Calibri"/>
      <w:color w:val="000000"/>
      <w:sz w:val="24"/>
      <w:szCs w:val="24"/>
    </w:rPr>
  </w:style>
  <w:style w:type="character" w:styleId="EndnoteReference">
    <w:name w:val="endnote reference"/>
    <w:basedOn w:val="DefaultParagraphFont"/>
    <w:rsid w:val="00DB0D39"/>
    <w:rPr>
      <w:vertAlign w:val="superscript"/>
    </w:rPr>
  </w:style>
  <w:style w:type="character" w:styleId="CommentReference">
    <w:name w:val="annotation reference"/>
    <w:basedOn w:val="DefaultParagraphFont"/>
    <w:rsid w:val="007D081A"/>
    <w:rPr>
      <w:sz w:val="16"/>
      <w:szCs w:val="16"/>
    </w:rPr>
  </w:style>
  <w:style w:type="paragraph" w:styleId="CommentText">
    <w:name w:val="annotation text"/>
    <w:basedOn w:val="Normal"/>
    <w:link w:val="CommentTextChar"/>
    <w:rsid w:val="007D081A"/>
    <w:rPr>
      <w:sz w:val="20"/>
      <w:szCs w:val="20"/>
    </w:rPr>
  </w:style>
  <w:style w:type="character" w:customStyle="1" w:styleId="CommentTextChar">
    <w:name w:val="Comment Text Char"/>
    <w:basedOn w:val="DefaultParagraphFont"/>
    <w:link w:val="CommentText"/>
    <w:rsid w:val="007D081A"/>
  </w:style>
  <w:style w:type="paragraph" w:styleId="CommentSubject">
    <w:name w:val="annotation subject"/>
    <w:basedOn w:val="CommentText"/>
    <w:next w:val="CommentText"/>
    <w:link w:val="CommentSubjectChar"/>
    <w:rsid w:val="007D081A"/>
    <w:rPr>
      <w:b/>
      <w:bCs/>
    </w:rPr>
  </w:style>
  <w:style w:type="character" w:customStyle="1" w:styleId="CommentSubjectChar">
    <w:name w:val="Comment Subject Char"/>
    <w:basedOn w:val="CommentTextChar"/>
    <w:link w:val="CommentSubject"/>
    <w:rsid w:val="007D081A"/>
    <w:rPr>
      <w:b/>
      <w:bCs/>
    </w:rPr>
  </w:style>
  <w:style w:type="paragraph" w:styleId="ListParagraph">
    <w:name w:val="List Paragraph"/>
    <w:basedOn w:val="Normal"/>
    <w:uiPriority w:val="34"/>
    <w:qFormat/>
    <w:rsid w:val="0096335D"/>
    <w:pPr>
      <w:ind w:left="720"/>
      <w:contextualSpacing/>
    </w:pPr>
    <w:rPr>
      <w:rFonts w:ascii="Times" w:eastAsiaTheme="minorHAnsi" w:hAnsi="Times"/>
    </w:rPr>
  </w:style>
  <w:style w:type="table" w:styleId="TableGrid">
    <w:name w:val="Table Grid"/>
    <w:basedOn w:val="TableNormal"/>
    <w:uiPriority w:val="59"/>
    <w:rsid w:val="0096335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B02DFA"/>
    <w:rPr>
      <w:rFonts w:ascii="Tahoma" w:hAnsi="Tahoma" w:cs="Tahoma"/>
      <w:sz w:val="16"/>
      <w:szCs w:val="16"/>
    </w:rPr>
  </w:style>
  <w:style w:type="character" w:customStyle="1" w:styleId="DocumentMapChar">
    <w:name w:val="Document Map Char"/>
    <w:basedOn w:val="DefaultParagraphFont"/>
    <w:link w:val="DocumentMap"/>
    <w:rsid w:val="00B02DFA"/>
    <w:rPr>
      <w:rFonts w:ascii="Tahoma" w:hAnsi="Tahoma" w:cs="Tahoma"/>
      <w:sz w:val="16"/>
      <w:szCs w:val="16"/>
    </w:rPr>
  </w:style>
  <w:style w:type="paragraph" w:styleId="Revision">
    <w:name w:val="Revision"/>
    <w:hidden/>
    <w:uiPriority w:val="99"/>
    <w:semiHidden/>
    <w:rsid w:val="00804625"/>
    <w:rPr>
      <w:sz w:val="24"/>
      <w:szCs w:val="24"/>
    </w:rPr>
  </w:style>
  <w:style w:type="character" w:styleId="Emphasis">
    <w:name w:val="Emphasis"/>
    <w:basedOn w:val="DefaultParagraphFont"/>
    <w:qFormat/>
    <w:rsid w:val="00120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474">
      <w:bodyDiv w:val="1"/>
      <w:marLeft w:val="0"/>
      <w:marRight w:val="0"/>
      <w:marTop w:val="0"/>
      <w:marBottom w:val="0"/>
      <w:divBdr>
        <w:top w:val="none" w:sz="0" w:space="0" w:color="auto"/>
        <w:left w:val="none" w:sz="0" w:space="0" w:color="auto"/>
        <w:bottom w:val="none" w:sz="0" w:space="0" w:color="auto"/>
        <w:right w:val="none" w:sz="0" w:space="0" w:color="auto"/>
      </w:divBdr>
    </w:div>
    <w:div w:id="634989063">
      <w:bodyDiv w:val="1"/>
      <w:marLeft w:val="0"/>
      <w:marRight w:val="0"/>
      <w:marTop w:val="0"/>
      <w:marBottom w:val="0"/>
      <w:divBdr>
        <w:top w:val="none" w:sz="0" w:space="0" w:color="auto"/>
        <w:left w:val="none" w:sz="0" w:space="0" w:color="auto"/>
        <w:bottom w:val="none" w:sz="0" w:space="0" w:color="auto"/>
        <w:right w:val="none" w:sz="0" w:space="0" w:color="auto"/>
      </w:divBdr>
    </w:div>
    <w:div w:id="1137457528">
      <w:bodyDiv w:val="1"/>
      <w:marLeft w:val="0"/>
      <w:marRight w:val="0"/>
      <w:marTop w:val="0"/>
      <w:marBottom w:val="0"/>
      <w:divBdr>
        <w:top w:val="none" w:sz="0" w:space="0" w:color="auto"/>
        <w:left w:val="none" w:sz="0" w:space="0" w:color="auto"/>
        <w:bottom w:val="none" w:sz="0" w:space="0" w:color="auto"/>
        <w:right w:val="none" w:sz="0" w:space="0" w:color="auto"/>
      </w:divBdr>
    </w:div>
    <w:div w:id="1197548322">
      <w:bodyDiv w:val="1"/>
      <w:marLeft w:val="0"/>
      <w:marRight w:val="0"/>
      <w:marTop w:val="0"/>
      <w:marBottom w:val="0"/>
      <w:divBdr>
        <w:top w:val="none" w:sz="0" w:space="0" w:color="auto"/>
        <w:left w:val="none" w:sz="0" w:space="0" w:color="auto"/>
        <w:bottom w:val="none" w:sz="0" w:space="0" w:color="auto"/>
        <w:right w:val="none" w:sz="0" w:space="0" w:color="auto"/>
      </w:divBdr>
    </w:div>
    <w:div w:id="1389307516">
      <w:bodyDiv w:val="1"/>
      <w:marLeft w:val="0"/>
      <w:marRight w:val="0"/>
      <w:marTop w:val="0"/>
      <w:marBottom w:val="0"/>
      <w:divBdr>
        <w:top w:val="none" w:sz="0" w:space="0" w:color="auto"/>
        <w:left w:val="none" w:sz="0" w:space="0" w:color="auto"/>
        <w:bottom w:val="none" w:sz="0" w:space="0" w:color="auto"/>
        <w:right w:val="none" w:sz="0" w:space="0" w:color="auto"/>
      </w:divBdr>
    </w:div>
    <w:div w:id="1683359241">
      <w:bodyDiv w:val="1"/>
      <w:marLeft w:val="0"/>
      <w:marRight w:val="0"/>
      <w:marTop w:val="0"/>
      <w:marBottom w:val="0"/>
      <w:divBdr>
        <w:top w:val="none" w:sz="0" w:space="0" w:color="auto"/>
        <w:left w:val="none" w:sz="0" w:space="0" w:color="auto"/>
        <w:bottom w:val="none" w:sz="0" w:space="0" w:color="auto"/>
        <w:right w:val="none" w:sz="0" w:space="0" w:color="auto"/>
      </w:divBdr>
    </w:div>
    <w:div w:id="18363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F094-5B56-4942-858A-C53AC324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16287</Words>
  <Characters>92837</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The Integration of the Euronext Stock Market</vt:lpstr>
    </vt:vector>
  </TitlesOfParts>
  <Company>Goizueta Business School</Company>
  <LinksUpToDate>false</LinksUpToDate>
  <CharactersWithSpaces>108907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the Euronext Stock Market</dc:title>
  <dc:creator>Grace</dc:creator>
  <cp:lastModifiedBy>MariaVulcheva</cp:lastModifiedBy>
  <cp:revision>2</cp:revision>
  <cp:lastPrinted>2013-03-05T21:34:00Z</cp:lastPrinted>
  <dcterms:created xsi:type="dcterms:W3CDTF">2013-03-16T15:14:00Z</dcterms:created>
  <dcterms:modified xsi:type="dcterms:W3CDTF">2013-03-16T15:14:00Z</dcterms:modified>
</cp:coreProperties>
</file>