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Default Extension="emf" ContentType="image/x-emf"/>
  <Default Extension="jpeg" ContentType="image/jpeg"/>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3" w:type="dxa"/>
        <w:tblLayout w:type="fixed"/>
        <w:tblCellMar>
          <w:left w:w="0" w:type="dxa"/>
          <w:right w:w="0" w:type="dxa"/>
        </w:tblCellMar>
        <w:tblLook w:val="01E0"/>
      </w:tblPr>
      <w:tblGrid>
        <w:gridCol w:w="8973"/>
      </w:tblGrid>
      <w:tr w:rsidR="000969BF" w:rsidRPr="00122AA1">
        <w:tc>
          <w:tcPr>
            <w:tcW w:w="8973" w:type="dxa"/>
            <w:shd w:val="clear" w:color="auto" w:fill="auto"/>
          </w:tcPr>
          <w:p w:rsidR="00E663F4" w:rsidRPr="00122AA1" w:rsidRDefault="009D0A75" w:rsidP="00E663F4">
            <w:pPr>
              <w:pStyle w:val="ReportTitle"/>
              <w:rPr>
                <w:rFonts w:ascii="Arial" w:hAnsi="Arial" w:cs="Arial"/>
              </w:rPr>
            </w:pPr>
            <w:r w:rsidRPr="00122AA1">
              <w:rPr>
                <w:rFonts w:ascii="Arial" w:hAnsi="Arial" w:cs="Arial"/>
              </w:rPr>
              <w:t>Privacy and personal data</w:t>
            </w:r>
          </w:p>
          <w:p w:rsidR="00DA6CB7" w:rsidRPr="00122AA1" w:rsidRDefault="00EA63E1" w:rsidP="00EA63E1">
            <w:pPr>
              <w:pStyle w:val="ReportSubtitle"/>
              <w:rPr>
                <w:rFonts w:ascii="Arial" w:hAnsi="Arial" w:cs="Arial"/>
              </w:rPr>
            </w:pPr>
            <w:r w:rsidRPr="00122AA1">
              <w:rPr>
                <w:rFonts w:ascii="Arial" w:hAnsi="Arial" w:cs="Arial"/>
              </w:rPr>
              <w:t xml:space="preserve">Emerging issues in media </w:t>
            </w:r>
          </w:p>
          <w:p w:rsidR="000969BF" w:rsidRPr="00122AA1" w:rsidRDefault="00EA63E1" w:rsidP="00EA63E1">
            <w:pPr>
              <w:pStyle w:val="ReportSubtitle"/>
              <w:rPr>
                <w:rFonts w:ascii="Arial" w:hAnsi="Arial" w:cs="Arial"/>
              </w:rPr>
            </w:pPr>
            <w:r w:rsidRPr="00122AA1">
              <w:rPr>
                <w:rFonts w:ascii="Arial" w:hAnsi="Arial" w:cs="Arial"/>
              </w:rPr>
              <w:t>and communications</w:t>
            </w:r>
          </w:p>
        </w:tc>
      </w:tr>
      <w:tr w:rsidR="000969BF" w:rsidRPr="00122AA1">
        <w:tc>
          <w:tcPr>
            <w:tcW w:w="8973" w:type="dxa"/>
            <w:shd w:val="clear" w:color="auto" w:fill="auto"/>
            <w:tcMar>
              <w:bottom w:w="232" w:type="dxa"/>
            </w:tcMar>
          </w:tcPr>
          <w:p w:rsidR="000969BF" w:rsidRPr="00122AA1" w:rsidRDefault="009D0A75" w:rsidP="00352078">
            <w:pPr>
              <w:pStyle w:val="ReportSubtitle"/>
              <w:rPr>
                <w:rFonts w:ascii="Arial" w:hAnsi="Arial" w:cs="Arial"/>
              </w:rPr>
            </w:pPr>
            <w:r w:rsidRPr="00122AA1">
              <w:rPr>
                <w:rFonts w:ascii="Arial" w:hAnsi="Arial" w:cs="Arial"/>
              </w:rPr>
              <w:t>Occasional paper 4</w:t>
            </w:r>
          </w:p>
        </w:tc>
      </w:tr>
      <w:tr w:rsidR="000969BF" w:rsidRPr="00122AA1">
        <w:tc>
          <w:tcPr>
            <w:tcW w:w="8973" w:type="dxa"/>
            <w:shd w:val="clear" w:color="auto" w:fill="auto"/>
          </w:tcPr>
          <w:p w:rsidR="000969BF" w:rsidRPr="00122AA1" w:rsidRDefault="009D0A75" w:rsidP="005D2502">
            <w:pPr>
              <w:pStyle w:val="ReportDate"/>
              <w:rPr>
                <w:rFonts w:ascii="Arial" w:hAnsi="Arial" w:cs="Arial"/>
              </w:rPr>
            </w:pPr>
            <w:r w:rsidRPr="00122AA1">
              <w:rPr>
                <w:rFonts w:ascii="Arial" w:hAnsi="Arial" w:cs="Arial"/>
              </w:rPr>
              <w:t>June 2013</w:t>
            </w:r>
          </w:p>
        </w:tc>
      </w:tr>
    </w:tbl>
    <w:p w:rsidR="000969BF" w:rsidRPr="00122AA1" w:rsidRDefault="000969BF">
      <w:pPr>
        <w:rPr>
          <w:rFonts w:ascii="Arial" w:hAnsi="Arial" w:cs="Arial"/>
        </w:rPr>
      </w:pPr>
    </w:p>
    <w:p w:rsidR="000969BF" w:rsidRPr="00122AA1" w:rsidRDefault="000969BF">
      <w:pPr>
        <w:rPr>
          <w:rFonts w:ascii="Arial" w:hAnsi="Arial" w:cs="Arial"/>
        </w:rPr>
      </w:pPr>
    </w:p>
    <w:p w:rsidR="000969BF" w:rsidRPr="00122AA1" w:rsidRDefault="000969BF" w:rsidP="000969BF">
      <w:pPr>
        <w:rPr>
          <w:rFonts w:ascii="Arial" w:hAnsi="Arial" w:cs="Arial"/>
        </w:rPr>
      </w:pPr>
    </w:p>
    <w:p w:rsidR="004E39D3" w:rsidRPr="00122AA1" w:rsidRDefault="004E39D3" w:rsidP="0041071D">
      <w:pPr>
        <w:rPr>
          <w:rFonts w:ascii="Arial" w:hAnsi="Arial" w:cs="Arial"/>
        </w:rPr>
        <w:sectPr w:rsidR="004E39D3" w:rsidRPr="00122AA1">
          <w:headerReference w:type="default" r:id="rId8"/>
          <w:footerReference w:type="default" r:id="rId9"/>
          <w:headerReference w:type="first" r:id="rId10"/>
          <w:pgSz w:w="11906" w:h="16838" w:code="9"/>
          <w:pgMar w:top="3924" w:right="1797" w:bottom="1440" w:left="1132" w:header="709" w:footer="709" w:gutter="0"/>
          <w:cols w:space="708"/>
          <w:docGrid w:linePitch="360"/>
        </w:sectPr>
      </w:pPr>
    </w:p>
    <w:tbl>
      <w:tblPr>
        <w:tblW w:w="8987" w:type="dxa"/>
        <w:tblLayout w:type="fixed"/>
        <w:tblCellMar>
          <w:left w:w="0" w:type="dxa"/>
          <w:right w:w="0" w:type="dxa"/>
        </w:tblCellMar>
        <w:tblLook w:val="01E0"/>
      </w:tblPr>
      <w:tblGrid>
        <w:gridCol w:w="8987"/>
      </w:tblGrid>
      <w:tr w:rsidR="00C64CD0" w:rsidRPr="00122AA1">
        <w:trPr>
          <w:trHeight w:val="5897"/>
        </w:trPr>
        <w:tc>
          <w:tcPr>
            <w:tcW w:w="8987" w:type="dxa"/>
            <w:shd w:val="clear" w:color="auto" w:fill="auto"/>
          </w:tcPr>
          <w:tbl>
            <w:tblPr>
              <w:tblW w:w="0" w:type="auto"/>
              <w:tblLayout w:type="fixed"/>
              <w:tblCellMar>
                <w:left w:w="0" w:type="dxa"/>
                <w:right w:w="0" w:type="dxa"/>
              </w:tblCellMar>
              <w:tblLook w:val="01E0"/>
            </w:tblPr>
            <w:tblGrid>
              <w:gridCol w:w="1491"/>
              <w:gridCol w:w="1694"/>
              <w:gridCol w:w="1764"/>
              <w:gridCol w:w="2011"/>
              <w:gridCol w:w="2012"/>
            </w:tblGrid>
            <w:tr w:rsidR="004151A7" w:rsidRPr="00122AA1">
              <w:tc>
                <w:tcPr>
                  <w:tcW w:w="1491" w:type="dxa"/>
                  <w:shd w:val="clear" w:color="auto" w:fill="auto"/>
                  <w:tcMar>
                    <w:top w:w="28" w:type="dxa"/>
                  </w:tcMar>
                </w:tcPr>
                <w:p w:rsidR="004151A7" w:rsidRPr="00122AA1" w:rsidRDefault="004151A7" w:rsidP="004151A7">
                  <w:pPr>
                    <w:pStyle w:val="CorporateAddresses"/>
                    <w:rPr>
                      <w:rFonts w:ascii="Arial" w:hAnsi="Arial" w:cs="Arial"/>
                      <w:b/>
                    </w:rPr>
                  </w:pPr>
                  <w:r w:rsidRPr="00122AA1">
                    <w:rPr>
                      <w:rFonts w:ascii="Arial" w:hAnsi="Arial" w:cs="Arial"/>
                      <w:b/>
                    </w:rPr>
                    <w:lastRenderedPageBreak/>
                    <w:t>Canberra</w:t>
                  </w:r>
                </w:p>
                <w:p w:rsidR="004151A7" w:rsidRPr="00122AA1" w:rsidRDefault="004151A7" w:rsidP="004151A7">
                  <w:pPr>
                    <w:pStyle w:val="CorporateAddresses"/>
                    <w:rPr>
                      <w:rFonts w:ascii="Arial" w:hAnsi="Arial" w:cs="Arial"/>
                    </w:rPr>
                  </w:pPr>
                  <w:r w:rsidRPr="00122AA1">
                    <w:rPr>
                      <w:rFonts w:ascii="Arial" w:hAnsi="Arial" w:cs="Arial"/>
                    </w:rPr>
                    <w:t xml:space="preserve">Purple Building  </w:t>
                  </w:r>
                </w:p>
                <w:p w:rsidR="004151A7" w:rsidRPr="00122AA1" w:rsidRDefault="004151A7" w:rsidP="004151A7">
                  <w:pPr>
                    <w:pStyle w:val="CorporateAddresses"/>
                    <w:rPr>
                      <w:rFonts w:ascii="Arial" w:hAnsi="Arial" w:cs="Arial"/>
                    </w:rPr>
                  </w:pPr>
                  <w:r w:rsidRPr="00122AA1">
                    <w:rPr>
                      <w:rFonts w:ascii="Arial" w:hAnsi="Arial" w:cs="Arial"/>
                    </w:rPr>
                    <w:t>Benjamin Offices</w:t>
                  </w:r>
                </w:p>
                <w:p w:rsidR="004151A7" w:rsidRPr="00122AA1" w:rsidRDefault="004151A7" w:rsidP="004151A7">
                  <w:pPr>
                    <w:pStyle w:val="CorporateAddresses"/>
                    <w:rPr>
                      <w:rFonts w:ascii="Arial" w:hAnsi="Arial" w:cs="Arial"/>
                    </w:rPr>
                  </w:pPr>
                  <w:r w:rsidRPr="00122AA1">
                    <w:rPr>
                      <w:rFonts w:ascii="Arial" w:hAnsi="Arial" w:cs="Arial"/>
                    </w:rPr>
                    <w:t xml:space="preserve">Chan Street </w:t>
                  </w:r>
                </w:p>
                <w:p w:rsidR="004151A7" w:rsidRPr="00122AA1" w:rsidRDefault="004151A7" w:rsidP="004151A7">
                  <w:pPr>
                    <w:pStyle w:val="CorporateAddresses"/>
                    <w:rPr>
                      <w:rFonts w:ascii="Arial" w:hAnsi="Arial" w:cs="Arial"/>
                    </w:rPr>
                  </w:pPr>
                  <w:r w:rsidRPr="00122AA1">
                    <w:rPr>
                      <w:rFonts w:ascii="Arial" w:hAnsi="Arial" w:cs="Arial"/>
                    </w:rPr>
                    <w:t>Belconnen ACT</w:t>
                  </w:r>
                </w:p>
                <w:p w:rsidR="004151A7" w:rsidRPr="00122AA1" w:rsidRDefault="004151A7" w:rsidP="004151A7">
                  <w:pPr>
                    <w:pStyle w:val="CorporateAddresses"/>
                    <w:rPr>
                      <w:rFonts w:ascii="Arial" w:hAnsi="Arial" w:cs="Arial"/>
                    </w:rPr>
                  </w:pPr>
                </w:p>
                <w:p w:rsidR="004151A7" w:rsidRPr="00122AA1" w:rsidRDefault="004151A7" w:rsidP="004151A7">
                  <w:pPr>
                    <w:pStyle w:val="CorporateAddresses"/>
                    <w:rPr>
                      <w:rFonts w:ascii="Arial" w:hAnsi="Arial" w:cs="Arial"/>
                    </w:rPr>
                  </w:pPr>
                  <w:r w:rsidRPr="00122AA1">
                    <w:rPr>
                      <w:rFonts w:ascii="Arial" w:hAnsi="Arial" w:cs="Arial"/>
                    </w:rPr>
                    <w:t>PO Box 78</w:t>
                  </w:r>
                </w:p>
                <w:p w:rsidR="004151A7" w:rsidRPr="00122AA1" w:rsidRDefault="004151A7" w:rsidP="004151A7">
                  <w:pPr>
                    <w:pStyle w:val="CorporateAddresses"/>
                    <w:rPr>
                      <w:rFonts w:ascii="Arial" w:hAnsi="Arial" w:cs="Arial"/>
                    </w:rPr>
                  </w:pPr>
                  <w:r w:rsidRPr="00122AA1">
                    <w:rPr>
                      <w:rFonts w:ascii="Arial" w:hAnsi="Arial" w:cs="Arial"/>
                    </w:rPr>
                    <w:t>Belconnen ACT 2616</w:t>
                  </w:r>
                </w:p>
                <w:p w:rsidR="004151A7" w:rsidRPr="00122AA1" w:rsidRDefault="004151A7" w:rsidP="004151A7">
                  <w:pPr>
                    <w:pStyle w:val="CorporateAddresses"/>
                    <w:rPr>
                      <w:rFonts w:ascii="Arial" w:hAnsi="Arial" w:cs="Arial"/>
                    </w:rPr>
                  </w:pPr>
                </w:p>
                <w:p w:rsidR="002B381A" w:rsidRPr="00122AA1" w:rsidRDefault="002B381A" w:rsidP="004151A7">
                  <w:pPr>
                    <w:pStyle w:val="CorporateAddresses"/>
                    <w:rPr>
                      <w:rFonts w:ascii="Arial" w:hAnsi="Arial" w:cs="Arial"/>
                    </w:rPr>
                  </w:pPr>
                </w:p>
                <w:p w:rsidR="004151A7" w:rsidRPr="00122AA1" w:rsidRDefault="004151A7" w:rsidP="004151A7">
                  <w:pPr>
                    <w:pStyle w:val="CorporateAddresses"/>
                    <w:rPr>
                      <w:rFonts w:ascii="Arial" w:hAnsi="Arial" w:cs="Arial"/>
                    </w:rPr>
                  </w:pPr>
                  <w:r w:rsidRPr="00122AA1">
                    <w:rPr>
                      <w:rFonts w:ascii="Arial" w:hAnsi="Arial" w:cs="Arial"/>
                    </w:rPr>
                    <w:t xml:space="preserve">T </w:t>
                  </w:r>
                  <w:r w:rsidR="00111FCE" w:rsidRPr="00122AA1">
                    <w:rPr>
                      <w:rFonts w:ascii="Arial" w:hAnsi="Arial" w:cs="Arial"/>
                    </w:rPr>
                    <w:t xml:space="preserve"> </w:t>
                  </w:r>
                  <w:r w:rsidRPr="00122AA1">
                    <w:rPr>
                      <w:rFonts w:ascii="Arial" w:hAnsi="Arial" w:cs="Arial"/>
                    </w:rPr>
                    <w:t>+61 2 6219 5555</w:t>
                  </w:r>
                </w:p>
                <w:p w:rsidR="004151A7" w:rsidRPr="00122AA1" w:rsidRDefault="004151A7" w:rsidP="004151A7">
                  <w:pPr>
                    <w:pStyle w:val="CorporateAddresses"/>
                    <w:rPr>
                      <w:rFonts w:ascii="Arial" w:hAnsi="Arial" w:cs="Arial"/>
                    </w:rPr>
                  </w:pPr>
                  <w:r w:rsidRPr="00122AA1">
                    <w:rPr>
                      <w:rFonts w:ascii="Arial" w:hAnsi="Arial" w:cs="Arial"/>
                    </w:rPr>
                    <w:t xml:space="preserve">F </w:t>
                  </w:r>
                  <w:r w:rsidR="00111FCE" w:rsidRPr="00122AA1">
                    <w:rPr>
                      <w:rFonts w:ascii="Arial" w:hAnsi="Arial" w:cs="Arial"/>
                    </w:rPr>
                    <w:t xml:space="preserve"> </w:t>
                  </w:r>
                  <w:r w:rsidRPr="00122AA1">
                    <w:rPr>
                      <w:rFonts w:ascii="Arial" w:hAnsi="Arial" w:cs="Arial"/>
                    </w:rPr>
                    <w:t>+61 2 6219 5353</w:t>
                  </w:r>
                </w:p>
              </w:tc>
              <w:tc>
                <w:tcPr>
                  <w:tcW w:w="1694" w:type="dxa"/>
                  <w:shd w:val="clear" w:color="auto" w:fill="auto"/>
                </w:tcPr>
                <w:p w:rsidR="004151A7" w:rsidRPr="00122AA1" w:rsidRDefault="004151A7" w:rsidP="004151A7">
                  <w:pPr>
                    <w:pStyle w:val="CorporateAddresses"/>
                    <w:rPr>
                      <w:rFonts w:ascii="Arial" w:hAnsi="Arial" w:cs="Arial"/>
                      <w:b/>
                    </w:rPr>
                  </w:pPr>
                  <w:r w:rsidRPr="00122AA1">
                    <w:rPr>
                      <w:rFonts w:ascii="Arial" w:hAnsi="Arial" w:cs="Arial"/>
                      <w:b/>
                    </w:rPr>
                    <w:t>Melbourne</w:t>
                  </w:r>
                </w:p>
                <w:p w:rsidR="004151A7" w:rsidRPr="00122AA1" w:rsidRDefault="004151A7" w:rsidP="004151A7">
                  <w:pPr>
                    <w:pStyle w:val="CorporateAddresses"/>
                    <w:rPr>
                      <w:rFonts w:ascii="Arial" w:hAnsi="Arial" w:cs="Arial"/>
                    </w:rPr>
                  </w:pPr>
                  <w:r w:rsidRPr="00122AA1">
                    <w:rPr>
                      <w:rFonts w:ascii="Arial" w:hAnsi="Arial" w:cs="Arial"/>
                    </w:rPr>
                    <w:t xml:space="preserve">Level 44  </w:t>
                  </w:r>
                </w:p>
                <w:p w:rsidR="004151A7" w:rsidRPr="00122AA1" w:rsidRDefault="004151A7" w:rsidP="004151A7">
                  <w:pPr>
                    <w:pStyle w:val="CorporateAddresses"/>
                    <w:rPr>
                      <w:rFonts w:ascii="Arial" w:hAnsi="Arial" w:cs="Arial"/>
                    </w:rPr>
                  </w:pPr>
                  <w:r w:rsidRPr="00122AA1">
                    <w:rPr>
                      <w:rFonts w:ascii="Arial" w:hAnsi="Arial" w:cs="Arial"/>
                    </w:rPr>
                    <w:t>Melbourne Central Tower</w:t>
                  </w:r>
                </w:p>
                <w:p w:rsidR="004151A7" w:rsidRPr="00122AA1" w:rsidRDefault="004151A7" w:rsidP="004151A7">
                  <w:pPr>
                    <w:pStyle w:val="CorporateAddresses"/>
                    <w:rPr>
                      <w:rFonts w:ascii="Arial" w:hAnsi="Arial" w:cs="Arial"/>
                    </w:rPr>
                  </w:pPr>
                  <w:r w:rsidRPr="00122AA1">
                    <w:rPr>
                      <w:rFonts w:ascii="Arial" w:hAnsi="Arial" w:cs="Arial"/>
                    </w:rPr>
                    <w:t>360 Elizabeth Street  Melbourne VIC</w:t>
                  </w:r>
                </w:p>
                <w:p w:rsidR="004151A7" w:rsidRPr="00122AA1" w:rsidRDefault="004151A7" w:rsidP="004151A7">
                  <w:pPr>
                    <w:pStyle w:val="CorporateAddresses"/>
                    <w:rPr>
                      <w:rFonts w:ascii="Arial" w:hAnsi="Arial" w:cs="Arial"/>
                    </w:rPr>
                  </w:pPr>
                </w:p>
                <w:p w:rsidR="004151A7" w:rsidRPr="00122AA1" w:rsidRDefault="004151A7" w:rsidP="004151A7">
                  <w:pPr>
                    <w:pStyle w:val="CorporateAddresses"/>
                    <w:rPr>
                      <w:rFonts w:ascii="Arial" w:hAnsi="Arial" w:cs="Arial"/>
                    </w:rPr>
                  </w:pPr>
                  <w:r w:rsidRPr="00122AA1">
                    <w:rPr>
                      <w:rFonts w:ascii="Arial" w:hAnsi="Arial" w:cs="Arial"/>
                    </w:rPr>
                    <w:t>PO Box 13112</w:t>
                  </w:r>
                </w:p>
                <w:p w:rsidR="004151A7" w:rsidRPr="00122AA1" w:rsidRDefault="004151A7" w:rsidP="004151A7">
                  <w:pPr>
                    <w:pStyle w:val="CorporateAddresses"/>
                    <w:rPr>
                      <w:rFonts w:ascii="Arial" w:hAnsi="Arial" w:cs="Arial"/>
                    </w:rPr>
                  </w:pPr>
                  <w:r w:rsidRPr="00122AA1">
                    <w:rPr>
                      <w:rFonts w:ascii="Arial" w:hAnsi="Arial" w:cs="Arial"/>
                    </w:rPr>
                    <w:t xml:space="preserve">Law Courts  </w:t>
                  </w:r>
                </w:p>
                <w:p w:rsidR="004151A7" w:rsidRPr="00122AA1" w:rsidRDefault="004151A7" w:rsidP="004151A7">
                  <w:pPr>
                    <w:pStyle w:val="CorporateAddresses"/>
                    <w:rPr>
                      <w:rFonts w:ascii="Arial" w:hAnsi="Arial" w:cs="Arial"/>
                    </w:rPr>
                  </w:pPr>
                  <w:r w:rsidRPr="00122AA1">
                    <w:rPr>
                      <w:rFonts w:ascii="Arial" w:hAnsi="Arial" w:cs="Arial"/>
                    </w:rPr>
                    <w:t>Melbourne VIC 8010</w:t>
                  </w:r>
                </w:p>
                <w:p w:rsidR="004151A7" w:rsidRPr="00122AA1" w:rsidRDefault="004151A7" w:rsidP="004151A7">
                  <w:pPr>
                    <w:pStyle w:val="CorporateAddresses"/>
                    <w:rPr>
                      <w:rFonts w:ascii="Arial" w:hAnsi="Arial" w:cs="Arial"/>
                    </w:rPr>
                  </w:pPr>
                </w:p>
                <w:p w:rsidR="004151A7" w:rsidRPr="00122AA1" w:rsidRDefault="004151A7" w:rsidP="004151A7">
                  <w:pPr>
                    <w:pStyle w:val="CorporateAddresses"/>
                    <w:rPr>
                      <w:rFonts w:ascii="Arial" w:hAnsi="Arial" w:cs="Arial"/>
                    </w:rPr>
                  </w:pPr>
                  <w:r w:rsidRPr="00122AA1">
                    <w:rPr>
                      <w:rFonts w:ascii="Arial" w:hAnsi="Arial" w:cs="Arial"/>
                    </w:rPr>
                    <w:t xml:space="preserve">T </w:t>
                  </w:r>
                  <w:r w:rsidR="00111FCE" w:rsidRPr="00122AA1">
                    <w:rPr>
                      <w:rFonts w:ascii="Arial" w:hAnsi="Arial" w:cs="Arial"/>
                    </w:rPr>
                    <w:t xml:space="preserve"> </w:t>
                  </w:r>
                  <w:r w:rsidRPr="00122AA1">
                    <w:rPr>
                      <w:rFonts w:ascii="Arial" w:hAnsi="Arial" w:cs="Arial"/>
                    </w:rPr>
                    <w:t>+61 3 9963 6800</w:t>
                  </w:r>
                </w:p>
                <w:p w:rsidR="004151A7" w:rsidRPr="00122AA1" w:rsidRDefault="004151A7" w:rsidP="004151A7">
                  <w:pPr>
                    <w:pStyle w:val="CorporateAddresses"/>
                    <w:rPr>
                      <w:rFonts w:ascii="Arial" w:hAnsi="Arial" w:cs="Arial"/>
                    </w:rPr>
                  </w:pPr>
                  <w:r w:rsidRPr="00122AA1">
                    <w:rPr>
                      <w:rFonts w:ascii="Arial" w:hAnsi="Arial" w:cs="Arial"/>
                    </w:rPr>
                    <w:t xml:space="preserve">F </w:t>
                  </w:r>
                  <w:r w:rsidR="00111FCE" w:rsidRPr="00122AA1">
                    <w:rPr>
                      <w:rFonts w:ascii="Arial" w:hAnsi="Arial" w:cs="Arial"/>
                    </w:rPr>
                    <w:t xml:space="preserve"> </w:t>
                  </w:r>
                  <w:r w:rsidRPr="00122AA1">
                    <w:rPr>
                      <w:rFonts w:ascii="Arial" w:hAnsi="Arial" w:cs="Arial"/>
                    </w:rPr>
                    <w:t>+61 3 9963 6899</w:t>
                  </w:r>
                </w:p>
              </w:tc>
              <w:tc>
                <w:tcPr>
                  <w:tcW w:w="1764" w:type="dxa"/>
                  <w:shd w:val="clear" w:color="auto" w:fill="auto"/>
                </w:tcPr>
                <w:p w:rsidR="004151A7" w:rsidRPr="00122AA1" w:rsidRDefault="004151A7" w:rsidP="004151A7">
                  <w:pPr>
                    <w:pStyle w:val="CorporateAddresses"/>
                    <w:rPr>
                      <w:rFonts w:ascii="Arial" w:hAnsi="Arial" w:cs="Arial"/>
                      <w:b/>
                    </w:rPr>
                  </w:pPr>
                  <w:r w:rsidRPr="00122AA1">
                    <w:rPr>
                      <w:rFonts w:ascii="Arial" w:hAnsi="Arial" w:cs="Arial"/>
                      <w:b/>
                    </w:rPr>
                    <w:t>Sydney</w:t>
                  </w:r>
                </w:p>
                <w:p w:rsidR="004151A7" w:rsidRPr="00122AA1" w:rsidRDefault="00AF63E7" w:rsidP="004151A7">
                  <w:pPr>
                    <w:pStyle w:val="CorporateAddresses"/>
                    <w:rPr>
                      <w:rFonts w:ascii="Arial" w:hAnsi="Arial" w:cs="Arial"/>
                    </w:rPr>
                  </w:pPr>
                  <w:r w:rsidRPr="00122AA1">
                    <w:rPr>
                      <w:rFonts w:ascii="Arial" w:hAnsi="Arial" w:cs="Arial"/>
                    </w:rPr>
                    <w:t>Level 5</w:t>
                  </w:r>
                  <w:r w:rsidR="004151A7" w:rsidRPr="00122AA1">
                    <w:rPr>
                      <w:rFonts w:ascii="Arial" w:hAnsi="Arial" w:cs="Arial"/>
                    </w:rPr>
                    <w:t xml:space="preserve">  </w:t>
                  </w:r>
                </w:p>
                <w:p w:rsidR="004151A7" w:rsidRPr="00122AA1" w:rsidRDefault="00AF63E7" w:rsidP="004151A7">
                  <w:pPr>
                    <w:pStyle w:val="CorporateAddresses"/>
                    <w:rPr>
                      <w:rFonts w:ascii="Arial" w:hAnsi="Arial" w:cs="Arial"/>
                    </w:rPr>
                  </w:pPr>
                  <w:r w:rsidRPr="00122AA1">
                    <w:rPr>
                      <w:rFonts w:ascii="Arial" w:hAnsi="Arial" w:cs="Arial"/>
                    </w:rPr>
                    <w:t>The Bay Centre</w:t>
                  </w:r>
                </w:p>
                <w:p w:rsidR="004151A7" w:rsidRPr="00122AA1" w:rsidRDefault="00AF63E7" w:rsidP="004151A7">
                  <w:pPr>
                    <w:pStyle w:val="CorporateAddresses"/>
                    <w:rPr>
                      <w:rFonts w:ascii="Arial" w:hAnsi="Arial" w:cs="Arial"/>
                    </w:rPr>
                  </w:pPr>
                  <w:r w:rsidRPr="00122AA1">
                    <w:rPr>
                      <w:rFonts w:ascii="Arial" w:hAnsi="Arial" w:cs="Arial"/>
                    </w:rPr>
                    <w:t>65 Pirrama Road</w:t>
                  </w:r>
                  <w:r w:rsidR="004151A7" w:rsidRPr="00122AA1">
                    <w:rPr>
                      <w:rFonts w:ascii="Arial" w:hAnsi="Arial" w:cs="Arial"/>
                    </w:rPr>
                    <w:t xml:space="preserve">  </w:t>
                  </w:r>
                </w:p>
                <w:p w:rsidR="004151A7" w:rsidRPr="00122AA1" w:rsidRDefault="00AF63E7" w:rsidP="004151A7">
                  <w:pPr>
                    <w:pStyle w:val="CorporateAddresses"/>
                    <w:rPr>
                      <w:rFonts w:ascii="Arial" w:hAnsi="Arial" w:cs="Arial"/>
                    </w:rPr>
                  </w:pPr>
                  <w:r w:rsidRPr="00122AA1">
                    <w:rPr>
                      <w:rFonts w:ascii="Arial" w:hAnsi="Arial" w:cs="Arial"/>
                    </w:rPr>
                    <w:t>Pyrmont</w:t>
                  </w:r>
                  <w:r w:rsidR="004151A7" w:rsidRPr="00122AA1">
                    <w:rPr>
                      <w:rFonts w:ascii="Arial" w:hAnsi="Arial" w:cs="Arial"/>
                    </w:rPr>
                    <w:t xml:space="preserve"> NSW</w:t>
                  </w:r>
                </w:p>
                <w:p w:rsidR="004151A7" w:rsidRPr="00122AA1" w:rsidRDefault="004151A7" w:rsidP="004151A7">
                  <w:pPr>
                    <w:pStyle w:val="CorporateAddresses"/>
                    <w:rPr>
                      <w:rFonts w:ascii="Arial" w:hAnsi="Arial" w:cs="Arial"/>
                    </w:rPr>
                  </w:pPr>
                </w:p>
                <w:p w:rsidR="004151A7" w:rsidRPr="00122AA1" w:rsidRDefault="004151A7" w:rsidP="004151A7">
                  <w:pPr>
                    <w:pStyle w:val="CorporateAddresses"/>
                    <w:rPr>
                      <w:rFonts w:ascii="Arial" w:hAnsi="Arial" w:cs="Arial"/>
                    </w:rPr>
                  </w:pPr>
                  <w:r w:rsidRPr="00122AA1">
                    <w:rPr>
                      <w:rFonts w:ascii="Arial" w:hAnsi="Arial" w:cs="Arial"/>
                    </w:rPr>
                    <w:t>PO Box Q500</w:t>
                  </w:r>
                </w:p>
                <w:p w:rsidR="004151A7" w:rsidRPr="00122AA1" w:rsidRDefault="004151A7" w:rsidP="004151A7">
                  <w:pPr>
                    <w:pStyle w:val="CorporateAddresses"/>
                    <w:rPr>
                      <w:rFonts w:ascii="Arial" w:hAnsi="Arial" w:cs="Arial"/>
                    </w:rPr>
                  </w:pPr>
                  <w:r w:rsidRPr="00122AA1">
                    <w:rPr>
                      <w:rFonts w:ascii="Arial" w:hAnsi="Arial" w:cs="Arial"/>
                    </w:rPr>
                    <w:t xml:space="preserve">Queen Victoria Building  </w:t>
                  </w:r>
                </w:p>
                <w:p w:rsidR="004151A7" w:rsidRPr="00122AA1" w:rsidRDefault="004151A7" w:rsidP="004151A7">
                  <w:pPr>
                    <w:pStyle w:val="CorporateAddresses"/>
                    <w:rPr>
                      <w:rFonts w:ascii="Arial" w:hAnsi="Arial" w:cs="Arial"/>
                    </w:rPr>
                  </w:pPr>
                  <w:r w:rsidRPr="00122AA1">
                    <w:rPr>
                      <w:rFonts w:ascii="Arial" w:hAnsi="Arial" w:cs="Arial"/>
                    </w:rPr>
                    <w:t>NSW 1230</w:t>
                  </w:r>
                </w:p>
                <w:p w:rsidR="004151A7" w:rsidRPr="00122AA1" w:rsidRDefault="004151A7" w:rsidP="004151A7">
                  <w:pPr>
                    <w:pStyle w:val="CorporateAddresses"/>
                    <w:rPr>
                      <w:rFonts w:ascii="Arial" w:hAnsi="Arial" w:cs="Arial"/>
                    </w:rPr>
                  </w:pPr>
                </w:p>
                <w:p w:rsidR="004151A7" w:rsidRPr="00122AA1" w:rsidRDefault="004151A7" w:rsidP="004151A7">
                  <w:pPr>
                    <w:pStyle w:val="CorporateAddresses"/>
                    <w:rPr>
                      <w:rFonts w:ascii="Arial" w:hAnsi="Arial" w:cs="Arial"/>
                    </w:rPr>
                  </w:pPr>
                  <w:r w:rsidRPr="00122AA1">
                    <w:rPr>
                      <w:rFonts w:ascii="Arial" w:hAnsi="Arial" w:cs="Arial"/>
                    </w:rPr>
                    <w:t xml:space="preserve">T </w:t>
                  </w:r>
                  <w:r w:rsidR="00111FCE" w:rsidRPr="00122AA1">
                    <w:rPr>
                      <w:rFonts w:ascii="Arial" w:hAnsi="Arial" w:cs="Arial"/>
                    </w:rPr>
                    <w:t xml:space="preserve"> </w:t>
                  </w:r>
                  <w:r w:rsidRPr="00122AA1">
                    <w:rPr>
                      <w:rFonts w:ascii="Arial" w:hAnsi="Arial" w:cs="Arial"/>
                    </w:rPr>
                    <w:t xml:space="preserve">+61 2 9334 7700  </w:t>
                  </w:r>
                </w:p>
                <w:p w:rsidR="004151A7" w:rsidRPr="00122AA1" w:rsidRDefault="00111FCE" w:rsidP="00915B1C">
                  <w:pPr>
                    <w:pStyle w:val="CorporateAddresses"/>
                    <w:spacing w:after="28"/>
                    <w:rPr>
                      <w:rFonts w:ascii="Arial" w:hAnsi="Arial" w:cs="Arial"/>
                    </w:rPr>
                  </w:pPr>
                  <w:r w:rsidRPr="00122AA1">
                    <w:rPr>
                      <w:rFonts w:ascii="Arial" w:hAnsi="Arial" w:cs="Arial"/>
                    </w:rPr>
                    <w:t xml:space="preserve">    </w:t>
                  </w:r>
                  <w:r w:rsidR="004151A7" w:rsidRPr="00122AA1">
                    <w:rPr>
                      <w:rFonts w:ascii="Arial" w:hAnsi="Arial" w:cs="Arial"/>
                    </w:rPr>
                    <w:t>1800 226 667</w:t>
                  </w:r>
                </w:p>
                <w:p w:rsidR="004151A7" w:rsidRPr="00122AA1" w:rsidRDefault="004151A7" w:rsidP="004151A7">
                  <w:pPr>
                    <w:pStyle w:val="CorporateAddresses"/>
                    <w:rPr>
                      <w:rFonts w:ascii="Arial" w:hAnsi="Arial" w:cs="Arial"/>
                    </w:rPr>
                  </w:pPr>
                  <w:r w:rsidRPr="00122AA1">
                    <w:rPr>
                      <w:rFonts w:ascii="Arial" w:hAnsi="Arial" w:cs="Arial"/>
                    </w:rPr>
                    <w:t xml:space="preserve">F </w:t>
                  </w:r>
                  <w:r w:rsidR="00111FCE" w:rsidRPr="00122AA1">
                    <w:rPr>
                      <w:rFonts w:ascii="Arial" w:hAnsi="Arial" w:cs="Arial"/>
                    </w:rPr>
                    <w:t xml:space="preserve"> </w:t>
                  </w:r>
                  <w:r w:rsidRPr="00122AA1">
                    <w:rPr>
                      <w:rFonts w:ascii="Arial" w:hAnsi="Arial" w:cs="Arial"/>
                    </w:rPr>
                    <w:t>+61 2 9334 7799</w:t>
                  </w:r>
                </w:p>
              </w:tc>
              <w:tc>
                <w:tcPr>
                  <w:tcW w:w="2011" w:type="dxa"/>
                  <w:shd w:val="clear" w:color="auto" w:fill="auto"/>
                </w:tcPr>
                <w:p w:rsidR="004151A7" w:rsidRPr="00122AA1" w:rsidRDefault="004151A7" w:rsidP="004151A7">
                  <w:pPr>
                    <w:pStyle w:val="CorporateAddresses"/>
                    <w:rPr>
                      <w:rFonts w:ascii="Arial" w:hAnsi="Arial" w:cs="Arial"/>
                    </w:rPr>
                  </w:pPr>
                </w:p>
              </w:tc>
              <w:tc>
                <w:tcPr>
                  <w:tcW w:w="2012" w:type="dxa"/>
                  <w:shd w:val="clear" w:color="auto" w:fill="auto"/>
                </w:tcPr>
                <w:p w:rsidR="004151A7" w:rsidRPr="00122AA1" w:rsidRDefault="004151A7" w:rsidP="004151A7">
                  <w:pPr>
                    <w:pStyle w:val="CorporateAddresses"/>
                    <w:rPr>
                      <w:rFonts w:ascii="Arial" w:hAnsi="Arial" w:cs="Arial"/>
                    </w:rPr>
                  </w:pPr>
                </w:p>
              </w:tc>
            </w:tr>
          </w:tbl>
          <w:p w:rsidR="00C64CD0" w:rsidRPr="00122AA1" w:rsidRDefault="00C64CD0" w:rsidP="004151A7">
            <w:pPr>
              <w:pStyle w:val="CorporateAddresses"/>
              <w:rPr>
                <w:rFonts w:ascii="Arial" w:hAnsi="Arial" w:cs="Arial"/>
              </w:rPr>
            </w:pPr>
          </w:p>
        </w:tc>
      </w:tr>
      <w:tr w:rsidR="00745A5C" w:rsidRPr="00122AA1">
        <w:trPr>
          <w:trHeight w:hRule="exact" w:val="6080"/>
        </w:trPr>
        <w:tc>
          <w:tcPr>
            <w:tcW w:w="8987" w:type="dxa"/>
            <w:shd w:val="clear" w:color="auto" w:fill="auto"/>
            <w:vAlign w:val="bottom"/>
          </w:tcPr>
          <w:p w:rsidR="00745A5C" w:rsidRPr="00122AA1" w:rsidRDefault="00745A5C" w:rsidP="004151A7">
            <w:pPr>
              <w:pStyle w:val="Copyright"/>
              <w:rPr>
                <w:rFonts w:ascii="Arial" w:hAnsi="Arial" w:cs="Arial"/>
              </w:rPr>
            </w:pPr>
            <w:r w:rsidRPr="00122AA1">
              <w:rPr>
                <w:rFonts w:ascii="Arial" w:hAnsi="Arial" w:cs="Arial"/>
              </w:rPr>
              <w:t xml:space="preserve">© Commonwealth of Australia </w:t>
            </w:r>
            <w:r w:rsidR="00352078" w:rsidRPr="00122AA1">
              <w:rPr>
                <w:rFonts w:ascii="Arial" w:hAnsi="Arial" w:cs="Arial"/>
              </w:rPr>
              <w:t>2013</w:t>
            </w:r>
          </w:p>
          <w:p w:rsidR="00745A5C" w:rsidRPr="00122AA1" w:rsidRDefault="00745A5C" w:rsidP="004151A7">
            <w:pPr>
              <w:pStyle w:val="Copyright"/>
              <w:rPr>
                <w:rFonts w:ascii="Arial" w:hAnsi="Arial" w:cs="Arial"/>
              </w:rPr>
            </w:pPr>
            <w:r w:rsidRPr="00122AA1">
              <w:rPr>
                <w:rFonts w:ascii="Arial" w:hAnsi="Arial" w:cs="Arial"/>
              </w:rPr>
              <w:t xml:space="preserve">This work is copyright. Apart from any use as permitted under the </w:t>
            </w:r>
            <w:r w:rsidRPr="00122AA1">
              <w:rPr>
                <w:rFonts w:ascii="Arial" w:hAnsi="Arial" w:cs="Arial"/>
                <w:i/>
              </w:rPr>
              <w:t>Copyright Act 1968</w:t>
            </w:r>
            <w:r w:rsidRPr="00122AA1">
              <w:rPr>
                <w:rFonts w:ascii="Arial" w:hAnsi="Arial" w:cs="Arial"/>
              </w:rPr>
              <w:t xml:space="preserve">, no part may be reproduced  </w:t>
            </w:r>
          </w:p>
          <w:p w:rsidR="00745A5C" w:rsidRPr="00122AA1" w:rsidRDefault="00745A5C" w:rsidP="004151A7">
            <w:pPr>
              <w:pStyle w:val="Copyright"/>
              <w:rPr>
                <w:rFonts w:ascii="Arial" w:hAnsi="Arial" w:cs="Arial"/>
              </w:rPr>
            </w:pPr>
            <w:r w:rsidRPr="00122AA1">
              <w:rPr>
                <w:rFonts w:ascii="Arial" w:hAnsi="Arial" w:cs="Arial"/>
              </w:rPr>
              <w:t xml:space="preserve">by any process without prior written permission from the Commonwealth. Requests and inquiries concerning reproduction  </w:t>
            </w:r>
          </w:p>
          <w:p w:rsidR="00745A5C" w:rsidRPr="00122AA1" w:rsidRDefault="00745A5C" w:rsidP="004151A7">
            <w:pPr>
              <w:pStyle w:val="Copyright"/>
              <w:rPr>
                <w:rFonts w:ascii="Arial" w:hAnsi="Arial" w:cs="Arial"/>
              </w:rPr>
            </w:pPr>
            <w:r w:rsidRPr="00122AA1">
              <w:rPr>
                <w:rFonts w:ascii="Arial" w:hAnsi="Arial" w:cs="Arial"/>
              </w:rPr>
              <w:t xml:space="preserve">and rights should be addressed to the Manager, </w:t>
            </w:r>
            <w:r w:rsidR="00352078" w:rsidRPr="00122AA1">
              <w:rPr>
                <w:rFonts w:ascii="Arial" w:hAnsi="Arial" w:cs="Arial"/>
              </w:rPr>
              <w:t>Editorial Services</w:t>
            </w:r>
            <w:r w:rsidRPr="00122AA1">
              <w:rPr>
                <w:rFonts w:ascii="Arial" w:hAnsi="Arial" w:cs="Arial"/>
              </w:rPr>
              <w:t xml:space="preserve">, Australian Communications and Media Authority,  </w:t>
            </w:r>
          </w:p>
          <w:p w:rsidR="00745A5C" w:rsidRPr="00122AA1" w:rsidRDefault="00745A5C" w:rsidP="004151A7">
            <w:pPr>
              <w:pStyle w:val="Copyright"/>
              <w:rPr>
                <w:rFonts w:ascii="Arial" w:hAnsi="Arial" w:cs="Arial"/>
              </w:rPr>
            </w:pPr>
            <w:r w:rsidRPr="00122AA1">
              <w:rPr>
                <w:rFonts w:ascii="Arial" w:hAnsi="Arial" w:cs="Arial"/>
              </w:rPr>
              <w:t>PO Box 13112 Law Courts, Melbourne Vic 8010.</w:t>
            </w:r>
          </w:p>
          <w:p w:rsidR="00745A5C" w:rsidRPr="00122AA1" w:rsidRDefault="00745A5C" w:rsidP="004151A7">
            <w:pPr>
              <w:pStyle w:val="Copyright"/>
              <w:rPr>
                <w:rFonts w:ascii="Arial" w:hAnsi="Arial" w:cs="Arial"/>
              </w:rPr>
            </w:pPr>
          </w:p>
          <w:p w:rsidR="00745A5C" w:rsidRPr="00122AA1" w:rsidRDefault="00745A5C" w:rsidP="004151A7">
            <w:pPr>
              <w:pStyle w:val="Copyright"/>
              <w:rPr>
                <w:rFonts w:ascii="Arial" w:hAnsi="Arial" w:cs="Arial"/>
              </w:rPr>
            </w:pPr>
            <w:r w:rsidRPr="00122AA1">
              <w:rPr>
                <w:rFonts w:ascii="Arial" w:hAnsi="Arial" w:cs="Arial"/>
              </w:rPr>
              <w:t>Published by the Australian Communications and Media Authority</w:t>
            </w:r>
          </w:p>
        </w:tc>
      </w:tr>
    </w:tbl>
    <w:p w:rsidR="00745A5C" w:rsidRPr="00122AA1" w:rsidRDefault="00745A5C" w:rsidP="0041071D">
      <w:pPr>
        <w:spacing w:line="240" w:lineRule="auto"/>
        <w:rPr>
          <w:rFonts w:ascii="Arial" w:hAnsi="Arial" w:cs="Arial"/>
          <w:sz w:val="10"/>
          <w:szCs w:val="10"/>
        </w:rPr>
      </w:pPr>
    </w:p>
    <w:p w:rsidR="00FE1823" w:rsidRPr="00122AA1" w:rsidRDefault="00FE1823" w:rsidP="0041071D">
      <w:pPr>
        <w:rPr>
          <w:rFonts w:ascii="Arial" w:hAnsi="Arial" w:cs="Arial"/>
        </w:rPr>
        <w:sectPr w:rsidR="00FE1823" w:rsidRPr="00122AA1">
          <w:headerReference w:type="even" r:id="rId11"/>
          <w:headerReference w:type="default" r:id="rId12"/>
          <w:footerReference w:type="even" r:id="rId13"/>
          <w:footerReference w:type="default" r:id="rId14"/>
          <w:pgSz w:w="11906" w:h="16838" w:code="9"/>
          <w:pgMar w:top="3924" w:right="1797" w:bottom="697" w:left="1134" w:header="709" w:footer="119" w:gutter="0"/>
          <w:cols w:space="708"/>
          <w:docGrid w:linePitch="360"/>
        </w:sectPr>
      </w:pPr>
    </w:p>
    <w:p w:rsidR="00122AA1" w:rsidRPr="00122AA1" w:rsidRDefault="00122AA1">
      <w:pPr>
        <w:pStyle w:val="TOC1"/>
        <w:rPr>
          <w:rFonts w:ascii="Arial" w:eastAsiaTheme="minorEastAsia" w:hAnsi="Arial" w:cs="Arial"/>
          <w:b w:val="0"/>
          <w:color w:val="auto"/>
          <w:spacing w:val="0"/>
          <w:sz w:val="22"/>
          <w:szCs w:val="22"/>
        </w:rPr>
      </w:pPr>
      <w:r w:rsidRPr="00122AA1">
        <w:rPr>
          <w:rFonts w:ascii="Arial" w:hAnsi="Arial" w:cs="Arial"/>
          <w:szCs w:val="28"/>
        </w:rPr>
        <w:lastRenderedPageBreak/>
        <w:fldChar w:fldCharType="begin"/>
      </w:r>
      <w:r w:rsidRPr="00122AA1">
        <w:rPr>
          <w:rFonts w:ascii="Arial" w:hAnsi="Arial" w:cs="Arial"/>
          <w:szCs w:val="28"/>
        </w:rPr>
        <w:instrText xml:space="preserve"> TOC \o "1-3" \h \z \u </w:instrText>
      </w:r>
      <w:r w:rsidRPr="00122AA1">
        <w:rPr>
          <w:rFonts w:ascii="Arial" w:hAnsi="Arial" w:cs="Arial"/>
          <w:szCs w:val="28"/>
        </w:rPr>
        <w:fldChar w:fldCharType="separate"/>
      </w:r>
      <w:hyperlink w:anchor="_Toc359574745" w:history="1">
        <w:r w:rsidRPr="00122AA1">
          <w:rPr>
            <w:rStyle w:val="Hyperlink"/>
            <w:rFonts w:ascii="Arial" w:hAnsi="Arial" w:cs="Arial"/>
          </w:rPr>
          <w:t>Introduction</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_Toc359574745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3</w:t>
        </w:r>
        <w:r w:rsidRPr="00122AA1">
          <w:rPr>
            <w:rFonts w:ascii="Arial" w:hAnsi="Arial" w:cs="Arial"/>
            <w:webHidden/>
          </w:rPr>
          <w:fldChar w:fldCharType="end"/>
        </w:r>
      </w:hyperlink>
    </w:p>
    <w:p w:rsidR="00122AA1" w:rsidRPr="00122AA1" w:rsidRDefault="00122AA1">
      <w:pPr>
        <w:pStyle w:val="TOC1"/>
        <w:rPr>
          <w:rFonts w:ascii="Arial" w:eastAsiaTheme="minorEastAsia" w:hAnsi="Arial" w:cs="Arial"/>
          <w:b w:val="0"/>
          <w:color w:val="auto"/>
          <w:spacing w:val="0"/>
          <w:sz w:val="22"/>
          <w:szCs w:val="22"/>
        </w:rPr>
      </w:pPr>
      <w:hyperlink w:anchor="_Toc359574746" w:history="1">
        <w:r w:rsidRPr="00122AA1">
          <w:rPr>
            <w:rStyle w:val="Hyperlink"/>
            <w:rFonts w:ascii="Arial" w:hAnsi="Arial" w:cs="Arial"/>
          </w:rPr>
          <w:t>Evolution of the personal data environment</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_Toc359574746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5</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47" w:history="1">
        <w:r w:rsidRPr="00122AA1">
          <w:rPr>
            <w:rStyle w:val="Hyperlink"/>
            <w:rFonts w:ascii="Arial" w:hAnsi="Arial" w:cs="Arial"/>
          </w:rPr>
          <w:t>Sophisticated devices support rich data collection</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_Toc359574747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6</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48" w:history="1">
        <w:r w:rsidRPr="00122AA1">
          <w:rPr>
            <w:rStyle w:val="Hyperlink"/>
            <w:rFonts w:ascii="Arial" w:hAnsi="Arial" w:cs="Arial"/>
          </w:rPr>
          <w:t>Software exploits device capabilities to capture a range of personal data</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_Toc359574748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7</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49" w:history="1">
        <w:r w:rsidRPr="00122AA1">
          <w:rPr>
            <w:rStyle w:val="Hyperlink"/>
            <w:rFonts w:ascii="Arial" w:hAnsi="Arial" w:cs="Arial"/>
          </w:rPr>
          <w:t>Advances in network coverage and capacity aid personal data collection and storage</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_Toc359574749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8</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50" w:history="1">
        <w:r w:rsidRPr="00122AA1">
          <w:rPr>
            <w:rStyle w:val="Hyperlink"/>
            <w:rFonts w:ascii="Arial" w:hAnsi="Arial" w:cs="Arial"/>
          </w:rPr>
          <w:t>Data collection and analytics processes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_Toc359574750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8</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51" w:history="1">
        <w:r w:rsidRPr="00122AA1">
          <w:rPr>
            <w:rStyle w:val="Hyperlink"/>
            <w:rFonts w:ascii="Arial" w:hAnsi="Arial" w:cs="Arial"/>
          </w:rPr>
          <w:t>Evolving for technical tools and privacy-enhancing services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_Toc359574751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10</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52" w:history="1">
        <w:r w:rsidRPr="00122AA1">
          <w:rPr>
            <w:rStyle w:val="Hyperlink"/>
            <w:rFonts w:ascii="Arial" w:hAnsi="Arial" w:cs="Arial"/>
          </w:rPr>
          <w:t>Personal data vaults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_Toc359574752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10</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53" w:history="1">
        <w:r w:rsidRPr="00122AA1">
          <w:rPr>
            <w:rStyle w:val="Hyperlink"/>
            <w:rFonts w:ascii="Arial" w:hAnsi="Arial" w:cs="Arial"/>
          </w:rPr>
          <w:t>Personal data monitors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_Toc359574753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11</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54" w:history="1">
        <w:r w:rsidRPr="00122AA1">
          <w:rPr>
            <w:rStyle w:val="Hyperlink"/>
            <w:rFonts w:ascii="Arial" w:hAnsi="Arial" w:cs="Arial"/>
          </w:rPr>
          <w:t>Anonymisers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_Toc359574754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11</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55" w:history="1">
        <w:r w:rsidRPr="00122AA1">
          <w:rPr>
            <w:rStyle w:val="Hyperlink"/>
            <w:rFonts w:ascii="Arial" w:hAnsi="Arial" w:cs="Arial"/>
          </w:rPr>
          <w:t>Changing definitions of personal information in the networked digital environment</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_Toc359574755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11</w:t>
        </w:r>
        <w:r w:rsidRPr="00122AA1">
          <w:rPr>
            <w:rFonts w:ascii="Arial" w:hAnsi="Arial" w:cs="Arial"/>
            <w:webHidden/>
          </w:rPr>
          <w:fldChar w:fldCharType="end"/>
        </w:r>
      </w:hyperlink>
    </w:p>
    <w:p w:rsidR="00122AA1" w:rsidRPr="00122AA1" w:rsidRDefault="00122AA1" w:rsidP="00122AA1">
      <w:pPr>
        <w:pStyle w:val="TOC1"/>
        <w:rPr>
          <w:rFonts w:ascii="Arial" w:eastAsiaTheme="minorEastAsia" w:hAnsi="Arial" w:cs="Arial"/>
          <w:b w:val="0"/>
          <w:color w:val="auto"/>
          <w:spacing w:val="0"/>
          <w:sz w:val="22"/>
          <w:szCs w:val="22"/>
        </w:rPr>
      </w:pPr>
      <w:hyperlink w:anchor="_Toc359574756" w:history="1">
        <w:r w:rsidRPr="00122AA1">
          <w:rPr>
            <w:rStyle w:val="Hyperlink"/>
            <w:rFonts w:ascii="Arial" w:hAnsi="Arial" w:cs="Arial"/>
          </w:rPr>
          <w:t>Citizens’ attitudes to digital data sharing and security</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_Toc359574756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13</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57" w:history="1">
        <w:r w:rsidRPr="00122AA1">
          <w:rPr>
            <w:rStyle w:val="Hyperlink"/>
            <w:rFonts w:ascii="Arial" w:hAnsi="Arial" w:cs="Arial"/>
          </w:rPr>
          <w:t>Digital identity an enduring concept</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_Toc359574757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13</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58" w:history="1">
        <w:r w:rsidRPr="00122AA1">
          <w:rPr>
            <w:rStyle w:val="Hyperlink"/>
            <w:rFonts w:ascii="Arial" w:hAnsi="Arial" w:cs="Arial"/>
          </w:rPr>
          <w:t>Citizens have concerns about electronic intrusions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_Toc359574758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15</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59" w:history="1">
        <w:r w:rsidRPr="00122AA1">
          <w:rPr>
            <w:rStyle w:val="Hyperlink"/>
            <w:rFonts w:ascii="Arial" w:hAnsi="Arial" w:cs="Arial"/>
          </w:rPr>
          <w:t>Citizens are concerned about financial loss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_Toc359574759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15</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60" w:history="1">
        <w:r w:rsidRPr="00122AA1">
          <w:rPr>
            <w:rStyle w:val="Hyperlink"/>
            <w:rFonts w:ascii="Arial" w:hAnsi="Arial" w:cs="Arial"/>
          </w:rPr>
          <w:t>Managing reputation</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_Toc359574760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16</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61" w:history="1">
        <w:r w:rsidRPr="00122AA1">
          <w:rPr>
            <w:rStyle w:val="Hyperlink"/>
            <w:rFonts w:ascii="Arial" w:hAnsi="Arial" w:cs="Arial"/>
          </w:rPr>
          <w:t>Managing location activities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_Toc359574761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17</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62" w:history="1">
        <w:r w:rsidRPr="00122AA1">
          <w:rPr>
            <w:rStyle w:val="Hyperlink"/>
            <w:rFonts w:ascii="Arial" w:hAnsi="Arial" w:cs="Arial"/>
          </w:rPr>
          <w:t>Malicious activity risks to personal data</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_Toc359574762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17</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63" w:history="1">
        <w:r w:rsidRPr="00122AA1">
          <w:rPr>
            <w:rStyle w:val="Hyperlink"/>
            <w:rFonts w:ascii="Arial" w:hAnsi="Arial" w:cs="Arial"/>
          </w:rPr>
          <w:t>Shared responsibilities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_Toc359574763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17</w:t>
        </w:r>
        <w:r w:rsidRPr="00122AA1">
          <w:rPr>
            <w:rFonts w:ascii="Arial" w:hAnsi="Arial" w:cs="Arial"/>
            <w:webHidden/>
          </w:rPr>
          <w:fldChar w:fldCharType="end"/>
        </w:r>
      </w:hyperlink>
    </w:p>
    <w:p w:rsidR="00122AA1" w:rsidRPr="00122AA1" w:rsidRDefault="00122AA1" w:rsidP="00122AA1">
      <w:pPr>
        <w:pStyle w:val="TOC1"/>
        <w:rPr>
          <w:rFonts w:ascii="Arial" w:eastAsiaTheme="minorEastAsia" w:hAnsi="Arial" w:cs="Arial"/>
          <w:b w:val="0"/>
          <w:color w:val="auto"/>
          <w:spacing w:val="0"/>
          <w:sz w:val="22"/>
          <w:szCs w:val="22"/>
        </w:rPr>
      </w:pPr>
      <w:hyperlink w:anchor="_Toc359574764" w:history="1">
        <w:r w:rsidRPr="00122AA1">
          <w:rPr>
            <w:rStyle w:val="Hyperlink"/>
            <w:rFonts w:ascii="Arial" w:hAnsi="Arial" w:cs="Arial"/>
          </w:rPr>
          <w:t>Implications for regulatory settings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_Toc359574764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19</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65" w:history="1">
        <w:r w:rsidRPr="00122AA1">
          <w:rPr>
            <w:rStyle w:val="Hyperlink"/>
            <w:rFonts w:ascii="Arial" w:hAnsi="Arial" w:cs="Arial"/>
          </w:rPr>
          <w:t>Economy-wide and industry-specific regulation</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_Toc359574765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19</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66" w:history="1">
        <w:r w:rsidRPr="00122AA1">
          <w:rPr>
            <w:rStyle w:val="Hyperlink"/>
            <w:rFonts w:ascii="Arial" w:hAnsi="Arial" w:cs="Arial"/>
          </w:rPr>
          <w:t>Communications-specific protections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_Toc359574766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20</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67" w:history="1">
        <w:r w:rsidRPr="00122AA1">
          <w:rPr>
            <w:rStyle w:val="Hyperlink"/>
            <w:rFonts w:ascii="Arial" w:hAnsi="Arial" w:cs="Arial"/>
          </w:rPr>
          <w:t>Identity of communications customers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_Toc359574767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21</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68" w:history="1">
        <w:r w:rsidRPr="00122AA1">
          <w:rPr>
            <w:rStyle w:val="Hyperlink"/>
            <w:rFonts w:ascii="Arial" w:hAnsi="Arial" w:cs="Arial"/>
          </w:rPr>
          <w:t>Location activity information</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_Toc359574768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21</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69" w:history="1">
        <w:r w:rsidRPr="00122AA1">
          <w:rPr>
            <w:rStyle w:val="Hyperlink"/>
            <w:rFonts w:ascii="Arial" w:hAnsi="Arial" w:cs="Arial"/>
          </w:rPr>
          <w:t>Protections against electronic intrusions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_Toc359574769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21</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70" w:history="1">
        <w:r w:rsidRPr="00122AA1">
          <w:rPr>
            <w:rStyle w:val="Hyperlink"/>
            <w:rFonts w:ascii="Arial" w:hAnsi="Arial" w:cs="Arial"/>
          </w:rPr>
          <w:t>Reputation</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_Toc359574770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22</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71" w:history="1">
        <w:r w:rsidRPr="00122AA1">
          <w:rPr>
            <w:rStyle w:val="Hyperlink"/>
            <w:rFonts w:ascii="Arial" w:hAnsi="Arial" w:cs="Arial"/>
          </w:rPr>
          <w:t>Emerging gaps in personal data protections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_Toc359574771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22</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72" w:history="1">
        <w:r w:rsidRPr="00122AA1">
          <w:rPr>
            <w:rStyle w:val="Hyperlink"/>
            <w:rFonts w:ascii="Arial" w:hAnsi="Arial" w:cs="Arial"/>
          </w:rPr>
          <w:t>Implications for informed consent</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_Toc359574772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23</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73" w:history="1">
        <w:r w:rsidRPr="00122AA1">
          <w:rPr>
            <w:rStyle w:val="Hyperlink"/>
            <w:rFonts w:ascii="Arial" w:hAnsi="Arial" w:cs="Arial"/>
          </w:rPr>
          <w:t>Unattended and poorly attended risks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_Toc359574773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23</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74" w:history="1">
        <w:r w:rsidRPr="00122AA1">
          <w:rPr>
            <w:rStyle w:val="Hyperlink"/>
            <w:rFonts w:ascii="Arial" w:hAnsi="Arial" w:cs="Arial"/>
          </w:rPr>
          <w:t>Coherent frameworks for identification and authentication techniques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_Toc359574774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23</w:t>
        </w:r>
        <w:r w:rsidRPr="00122AA1">
          <w:rPr>
            <w:rFonts w:ascii="Arial" w:hAnsi="Arial" w:cs="Arial"/>
            <w:webHidden/>
          </w:rPr>
          <w:fldChar w:fldCharType="end"/>
        </w:r>
      </w:hyperlink>
    </w:p>
    <w:p w:rsidR="00122AA1" w:rsidRPr="00122AA1" w:rsidRDefault="00122AA1" w:rsidP="00122AA1">
      <w:pPr>
        <w:pStyle w:val="TOC3"/>
        <w:rPr>
          <w:rFonts w:ascii="Arial" w:eastAsiaTheme="minorEastAsia" w:hAnsi="Arial" w:cs="Arial"/>
          <w:color w:val="auto"/>
        </w:rPr>
      </w:pPr>
      <w:hyperlink w:anchor="_Toc359574775" w:history="1">
        <w:r w:rsidRPr="00122AA1">
          <w:rPr>
            <w:rStyle w:val="Hyperlink"/>
            <w:rFonts w:ascii="Arial" w:hAnsi="Arial" w:cs="Arial"/>
          </w:rPr>
          <w:t>Whole-of-economy governance and oversight</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_Toc359574775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24</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76" w:history="1">
        <w:r w:rsidRPr="00122AA1">
          <w:rPr>
            <w:rStyle w:val="Hyperlink"/>
            <w:rFonts w:ascii="Arial" w:hAnsi="Arial" w:cs="Arial"/>
          </w:rPr>
          <w:t>A coherent strategy is required to manage personal data in the digital environment</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_Toc359574776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24</w:t>
        </w:r>
        <w:r w:rsidRPr="00122AA1">
          <w:rPr>
            <w:rFonts w:ascii="Arial" w:hAnsi="Arial" w:cs="Arial"/>
            <w:webHidden/>
          </w:rPr>
          <w:fldChar w:fldCharType="end"/>
        </w:r>
      </w:hyperlink>
    </w:p>
    <w:p w:rsidR="00122AA1" w:rsidRPr="00122AA1" w:rsidRDefault="00122AA1" w:rsidP="00122AA1">
      <w:pPr>
        <w:pStyle w:val="TOC1"/>
        <w:keepNext/>
        <w:rPr>
          <w:rFonts w:ascii="Arial" w:eastAsiaTheme="minorEastAsia" w:hAnsi="Arial" w:cs="Arial"/>
          <w:b w:val="0"/>
          <w:color w:val="auto"/>
          <w:spacing w:val="0"/>
          <w:sz w:val="22"/>
          <w:szCs w:val="22"/>
        </w:rPr>
      </w:pPr>
      <w:hyperlink w:anchor="_Toc359574777" w:history="1">
        <w:r w:rsidRPr="00122AA1">
          <w:rPr>
            <w:rStyle w:val="Hyperlink"/>
            <w:rFonts w:ascii="Arial" w:hAnsi="Arial" w:cs="Arial"/>
          </w:rPr>
          <w:t>Enabling strategies for the personal information environment</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_Toc359574777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27</w:t>
        </w:r>
        <w:r w:rsidRPr="00122AA1">
          <w:rPr>
            <w:rFonts w:ascii="Arial" w:hAnsi="Arial" w:cs="Arial"/>
            <w:webHidden/>
          </w:rPr>
          <w:fldChar w:fldCharType="end"/>
        </w:r>
      </w:hyperlink>
    </w:p>
    <w:p w:rsidR="00122AA1" w:rsidRPr="00122AA1" w:rsidRDefault="00122AA1">
      <w:pPr>
        <w:pStyle w:val="TOC2"/>
        <w:rPr>
          <w:rFonts w:ascii="Arial" w:eastAsiaTheme="minorEastAsia" w:hAnsi="Arial" w:cs="Arial"/>
          <w:color w:val="auto"/>
          <w:spacing w:val="0"/>
          <w:sz w:val="22"/>
          <w:szCs w:val="22"/>
        </w:rPr>
      </w:pPr>
      <w:hyperlink w:anchor="_Toc359574778" w:history="1">
        <w:r w:rsidRPr="00122AA1">
          <w:rPr>
            <w:rStyle w:val="Hyperlink"/>
            <w:rFonts w:ascii="Arial" w:hAnsi="Arial" w:cs="Arial"/>
          </w:rPr>
          <w:t>Communication strategies</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_Toc359574778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27</w:t>
        </w:r>
        <w:r w:rsidRPr="00122AA1">
          <w:rPr>
            <w:rFonts w:ascii="Arial" w:hAnsi="Arial" w:cs="Arial"/>
            <w:webHidden/>
          </w:rPr>
          <w:fldChar w:fldCharType="end"/>
        </w:r>
      </w:hyperlink>
    </w:p>
    <w:p w:rsidR="00122AA1" w:rsidRPr="00122AA1" w:rsidRDefault="00122AA1">
      <w:pPr>
        <w:pStyle w:val="TOC2"/>
        <w:rPr>
          <w:rFonts w:ascii="Arial" w:eastAsiaTheme="minorEastAsia" w:hAnsi="Arial" w:cs="Arial"/>
          <w:color w:val="auto"/>
          <w:spacing w:val="0"/>
          <w:sz w:val="22"/>
          <w:szCs w:val="22"/>
        </w:rPr>
      </w:pPr>
      <w:hyperlink w:anchor="_Toc359574779" w:history="1">
        <w:r w:rsidRPr="00122AA1">
          <w:rPr>
            <w:rStyle w:val="Hyperlink"/>
            <w:rFonts w:ascii="Arial" w:hAnsi="Arial" w:cs="Arial"/>
          </w:rPr>
          <w:t>Facilitation of industry co- and self-regulation</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_Toc359574779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27</w:t>
        </w:r>
        <w:r w:rsidRPr="00122AA1">
          <w:rPr>
            <w:rFonts w:ascii="Arial" w:hAnsi="Arial" w:cs="Arial"/>
            <w:webHidden/>
          </w:rPr>
          <w:fldChar w:fldCharType="end"/>
        </w:r>
      </w:hyperlink>
    </w:p>
    <w:p w:rsidR="00122AA1" w:rsidRPr="00122AA1" w:rsidRDefault="00122AA1" w:rsidP="00122AA1">
      <w:pPr>
        <w:pStyle w:val="TOC2"/>
        <w:ind w:left="0" w:firstLine="0"/>
        <w:rPr>
          <w:rFonts w:ascii="Arial" w:eastAsiaTheme="minorEastAsia" w:hAnsi="Arial" w:cs="Arial"/>
          <w:color w:val="auto"/>
          <w:spacing w:val="0"/>
          <w:sz w:val="22"/>
          <w:szCs w:val="22"/>
        </w:rPr>
      </w:pPr>
      <w:hyperlink w:anchor="_Toc359574780" w:history="1">
        <w:r w:rsidRPr="00122AA1">
          <w:rPr>
            <w:rStyle w:val="Hyperlink"/>
            <w:rFonts w:ascii="Arial" w:hAnsi="Arial" w:cs="Arial"/>
          </w:rPr>
          <w:t>Direct regulation will continue to play an important role where it can be meaningfully applied</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_Toc359574780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29</w:t>
        </w:r>
        <w:r w:rsidRPr="00122AA1">
          <w:rPr>
            <w:rFonts w:ascii="Arial" w:hAnsi="Arial" w:cs="Arial"/>
            <w:webHidden/>
          </w:rPr>
          <w:fldChar w:fldCharType="end"/>
        </w:r>
      </w:hyperlink>
    </w:p>
    <w:p w:rsidR="00122AA1" w:rsidRPr="00122AA1" w:rsidRDefault="00122AA1">
      <w:pPr>
        <w:pStyle w:val="TOC1"/>
        <w:rPr>
          <w:rFonts w:ascii="Arial" w:eastAsiaTheme="minorEastAsia" w:hAnsi="Arial" w:cs="Arial"/>
          <w:b w:val="0"/>
          <w:color w:val="auto"/>
          <w:spacing w:val="0"/>
          <w:sz w:val="22"/>
          <w:szCs w:val="22"/>
        </w:rPr>
      </w:pPr>
      <w:hyperlink w:anchor="_Toc359574781" w:history="1">
        <w:r w:rsidRPr="00122AA1">
          <w:rPr>
            <w:rStyle w:val="Hyperlink"/>
            <w:rFonts w:ascii="Arial" w:hAnsi="Arial" w:cs="Arial"/>
          </w:rPr>
          <w:t>Conclusion</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_Toc359574781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31</w:t>
        </w:r>
        <w:r w:rsidRPr="00122AA1">
          <w:rPr>
            <w:rFonts w:ascii="Arial" w:hAnsi="Arial" w:cs="Arial"/>
            <w:webHidden/>
          </w:rPr>
          <w:fldChar w:fldCharType="end"/>
        </w:r>
      </w:hyperlink>
    </w:p>
    <w:p w:rsidR="00122AA1" w:rsidRPr="00122AA1" w:rsidRDefault="00122AA1">
      <w:pPr>
        <w:pStyle w:val="TOC1"/>
        <w:rPr>
          <w:rFonts w:ascii="Arial" w:eastAsiaTheme="minorEastAsia" w:hAnsi="Arial" w:cs="Arial"/>
          <w:b w:val="0"/>
          <w:color w:val="auto"/>
          <w:spacing w:val="0"/>
          <w:sz w:val="22"/>
          <w:szCs w:val="22"/>
        </w:rPr>
      </w:pPr>
      <w:hyperlink w:anchor="_Toc359574782" w:history="1">
        <w:r w:rsidRPr="00122AA1">
          <w:rPr>
            <w:rStyle w:val="Hyperlink"/>
            <w:rFonts w:ascii="Arial" w:hAnsi="Arial" w:cs="Arial"/>
          </w:rPr>
          <w:t>Appendix 1</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_Toc359574782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32</w:t>
        </w:r>
        <w:r w:rsidRPr="00122AA1">
          <w:rPr>
            <w:rFonts w:ascii="Arial" w:hAnsi="Arial" w:cs="Arial"/>
            <w:webHidden/>
          </w:rPr>
          <w:fldChar w:fldCharType="end"/>
        </w:r>
      </w:hyperlink>
    </w:p>
    <w:p w:rsidR="00122AA1" w:rsidRPr="00122AA1" w:rsidRDefault="00122AA1">
      <w:pPr>
        <w:pStyle w:val="TOC2"/>
        <w:rPr>
          <w:rFonts w:ascii="Arial" w:eastAsiaTheme="minorEastAsia" w:hAnsi="Arial" w:cs="Arial"/>
          <w:color w:val="auto"/>
          <w:spacing w:val="0"/>
          <w:sz w:val="22"/>
          <w:szCs w:val="22"/>
        </w:rPr>
      </w:pPr>
      <w:hyperlink w:anchor="_Toc359574783" w:history="1">
        <w:r w:rsidRPr="00122AA1">
          <w:rPr>
            <w:rStyle w:val="Hyperlink"/>
            <w:rFonts w:ascii="Arial" w:hAnsi="Arial" w:cs="Arial"/>
          </w:rPr>
          <w:t>ACMA research relating to privacy and personal data protection</w:t>
        </w:r>
        <w:r w:rsidRPr="00122AA1">
          <w:rPr>
            <w:rFonts w:ascii="Arial" w:hAnsi="Arial" w:cs="Arial"/>
            <w:webHidden/>
          </w:rPr>
          <w:tab/>
        </w:r>
        <w:r w:rsidRPr="00122AA1">
          <w:rPr>
            <w:rFonts w:ascii="Arial" w:hAnsi="Arial" w:cs="Arial"/>
            <w:webHidden/>
          </w:rPr>
          <w:fldChar w:fldCharType="begin"/>
        </w:r>
        <w:r w:rsidRPr="00122AA1">
          <w:rPr>
            <w:rFonts w:ascii="Arial" w:hAnsi="Arial" w:cs="Arial"/>
            <w:webHidden/>
          </w:rPr>
          <w:instrText xml:space="preserve"> PAGEREF _Toc359574783 \h </w:instrText>
        </w:r>
        <w:r w:rsidRPr="00122AA1">
          <w:rPr>
            <w:rFonts w:ascii="Arial" w:hAnsi="Arial" w:cs="Arial"/>
            <w:webHidden/>
          </w:rPr>
        </w:r>
        <w:r w:rsidRPr="00122AA1">
          <w:rPr>
            <w:rFonts w:ascii="Arial" w:hAnsi="Arial" w:cs="Arial"/>
            <w:webHidden/>
          </w:rPr>
          <w:fldChar w:fldCharType="separate"/>
        </w:r>
        <w:r w:rsidR="008E6D33">
          <w:rPr>
            <w:rFonts w:ascii="Arial" w:hAnsi="Arial" w:cs="Arial"/>
            <w:webHidden/>
          </w:rPr>
          <w:t>32</w:t>
        </w:r>
        <w:r w:rsidRPr="00122AA1">
          <w:rPr>
            <w:rFonts w:ascii="Arial" w:hAnsi="Arial" w:cs="Arial"/>
            <w:webHidden/>
          </w:rPr>
          <w:fldChar w:fldCharType="end"/>
        </w:r>
      </w:hyperlink>
    </w:p>
    <w:p w:rsidR="00152903" w:rsidRPr="00122AA1" w:rsidRDefault="00122AA1" w:rsidP="00332011">
      <w:pPr>
        <w:rPr>
          <w:rFonts w:ascii="Arial" w:hAnsi="Arial" w:cs="Arial"/>
        </w:rPr>
      </w:pPr>
      <w:r w:rsidRPr="00122AA1">
        <w:rPr>
          <w:rFonts w:ascii="Arial" w:hAnsi="Arial" w:cs="Arial"/>
          <w:noProof/>
          <w:color w:val="808285"/>
          <w:sz w:val="28"/>
          <w:szCs w:val="28"/>
        </w:rPr>
        <w:fldChar w:fldCharType="end"/>
      </w:r>
    </w:p>
    <w:p w:rsidR="000A4A51" w:rsidRPr="00122AA1" w:rsidRDefault="000A4A51">
      <w:pPr>
        <w:rPr>
          <w:rFonts w:ascii="Arial" w:hAnsi="Arial" w:cs="Arial"/>
        </w:rPr>
      </w:pPr>
    </w:p>
    <w:p w:rsidR="004D56FF" w:rsidRPr="00122AA1" w:rsidRDefault="004D56FF">
      <w:pPr>
        <w:rPr>
          <w:rFonts w:ascii="Arial" w:hAnsi="Arial" w:cs="Arial"/>
        </w:rPr>
        <w:sectPr w:rsidR="004D56FF" w:rsidRPr="00122AA1">
          <w:headerReference w:type="even" r:id="rId15"/>
          <w:headerReference w:type="default" r:id="rId16"/>
          <w:footerReference w:type="even" r:id="rId17"/>
          <w:footerReference w:type="default" r:id="rId18"/>
          <w:footerReference w:type="first" r:id="rId19"/>
          <w:pgSz w:w="11906" w:h="16838" w:code="9"/>
          <w:pgMar w:top="3646" w:right="3102" w:bottom="868" w:left="1134" w:header="709" w:footer="119" w:gutter="0"/>
          <w:cols w:space="708"/>
          <w:titlePg/>
          <w:docGrid w:linePitch="360"/>
        </w:sectPr>
      </w:pPr>
    </w:p>
    <w:p w:rsidR="00941FB0" w:rsidRPr="00122AA1" w:rsidRDefault="009D6C71" w:rsidP="00352078">
      <w:pPr>
        <w:pStyle w:val="ExecSummaryHeading"/>
        <w:rPr>
          <w:rFonts w:ascii="Arial" w:hAnsi="Arial" w:cs="Arial"/>
        </w:rPr>
      </w:pPr>
      <w:r w:rsidRPr="00122AA1">
        <w:rPr>
          <w:rFonts w:ascii="Arial" w:hAnsi="Arial" w:cs="Arial"/>
        </w:rPr>
        <w:t>Executive summary</w:t>
      </w:r>
    </w:p>
    <w:p w:rsidR="00C051CE" w:rsidRPr="00122AA1" w:rsidRDefault="00381D8A" w:rsidP="00C051CE">
      <w:pPr>
        <w:rPr>
          <w:rFonts w:ascii="Arial" w:hAnsi="Arial" w:cs="Arial"/>
        </w:rPr>
      </w:pPr>
      <w:r w:rsidRPr="00122AA1">
        <w:rPr>
          <w:rFonts w:ascii="Arial" w:hAnsi="Arial" w:cs="Arial"/>
        </w:rPr>
        <w:t>The e</w:t>
      </w:r>
      <w:r w:rsidR="00C051CE" w:rsidRPr="00122AA1">
        <w:rPr>
          <w:rFonts w:ascii="Arial" w:hAnsi="Arial" w:cs="Arial"/>
        </w:rPr>
        <w:t xml:space="preserve">volution of the online environment from a medium for passive content consumption to one </w:t>
      </w:r>
      <w:r w:rsidR="003058D0" w:rsidRPr="00122AA1">
        <w:rPr>
          <w:rFonts w:ascii="Arial" w:hAnsi="Arial" w:cs="Arial"/>
        </w:rPr>
        <w:t>of con</w:t>
      </w:r>
      <w:r w:rsidR="00C051CE" w:rsidRPr="00122AA1">
        <w:rPr>
          <w:rFonts w:ascii="Arial" w:hAnsi="Arial" w:cs="Arial"/>
        </w:rPr>
        <w:t xml:space="preserve">stant connectivity and interaction is having a dramatic impact on the amount and types of personal information </w:t>
      </w:r>
      <w:r w:rsidR="00DA6CB7" w:rsidRPr="00122AA1">
        <w:rPr>
          <w:rFonts w:ascii="Arial" w:hAnsi="Arial" w:cs="Arial"/>
        </w:rPr>
        <w:t>disclosed by citizens</w:t>
      </w:r>
      <w:r w:rsidR="00BF5702" w:rsidRPr="00122AA1">
        <w:rPr>
          <w:rFonts w:ascii="Arial" w:hAnsi="Arial" w:cs="Arial"/>
        </w:rPr>
        <w:t xml:space="preserve"> and consumers.</w:t>
      </w:r>
      <w:r w:rsidR="00866022" w:rsidRPr="00122AA1">
        <w:rPr>
          <w:rFonts w:ascii="Arial" w:hAnsi="Arial" w:cs="Arial"/>
        </w:rPr>
        <w:t xml:space="preserve"> According to </w:t>
      </w:r>
      <w:r w:rsidR="00A14A58" w:rsidRPr="00122AA1">
        <w:rPr>
          <w:rFonts w:ascii="Arial" w:hAnsi="Arial" w:cs="Arial"/>
        </w:rPr>
        <w:t>veteran internet observer</w:t>
      </w:r>
      <w:r w:rsidR="00D60D08" w:rsidRPr="00122AA1">
        <w:rPr>
          <w:rFonts w:ascii="Arial" w:hAnsi="Arial" w:cs="Arial"/>
        </w:rPr>
        <w:t>,</w:t>
      </w:r>
      <w:r w:rsidR="00A14A58" w:rsidRPr="00122AA1">
        <w:rPr>
          <w:rFonts w:ascii="Arial" w:hAnsi="Arial" w:cs="Arial"/>
        </w:rPr>
        <w:t xml:space="preserve"> </w:t>
      </w:r>
      <w:r w:rsidR="00866022" w:rsidRPr="00122AA1">
        <w:rPr>
          <w:rFonts w:ascii="Arial" w:hAnsi="Arial" w:cs="Arial"/>
        </w:rPr>
        <w:t>Clay Sh</w:t>
      </w:r>
      <w:r w:rsidR="00A14A58" w:rsidRPr="00122AA1">
        <w:rPr>
          <w:rFonts w:ascii="Arial" w:hAnsi="Arial" w:cs="Arial"/>
        </w:rPr>
        <w:t>irk</w:t>
      </w:r>
      <w:r w:rsidR="00866022" w:rsidRPr="00122AA1">
        <w:rPr>
          <w:rFonts w:ascii="Arial" w:hAnsi="Arial" w:cs="Arial"/>
        </w:rPr>
        <w:t xml:space="preserve">y, of all recorded information </w:t>
      </w:r>
      <w:r w:rsidR="00193BC4" w:rsidRPr="00122AA1">
        <w:rPr>
          <w:rFonts w:ascii="Arial" w:hAnsi="Arial" w:cs="Arial"/>
        </w:rPr>
        <w:t xml:space="preserve">created in </w:t>
      </w:r>
      <w:r w:rsidR="00866022" w:rsidRPr="00122AA1">
        <w:rPr>
          <w:rFonts w:ascii="Arial" w:hAnsi="Arial" w:cs="Arial"/>
        </w:rPr>
        <w:t xml:space="preserve">human history, most </w:t>
      </w:r>
      <w:r w:rsidR="00D60D08" w:rsidRPr="00122AA1">
        <w:rPr>
          <w:rFonts w:ascii="Arial" w:hAnsi="Arial" w:cs="Arial"/>
        </w:rPr>
        <w:t xml:space="preserve">of it </w:t>
      </w:r>
      <w:r w:rsidR="00866022" w:rsidRPr="00122AA1">
        <w:rPr>
          <w:rFonts w:ascii="Arial" w:hAnsi="Arial" w:cs="Arial"/>
        </w:rPr>
        <w:t>has been created since 2010.</w:t>
      </w:r>
      <w:r w:rsidR="00A14A58" w:rsidRPr="00122AA1">
        <w:rPr>
          <w:rStyle w:val="FootnoteReference"/>
          <w:rFonts w:cs="Arial"/>
        </w:rPr>
        <w:footnoteReference w:id="1"/>
      </w:r>
    </w:p>
    <w:p w:rsidR="00C051CE" w:rsidRPr="00122AA1" w:rsidRDefault="00C051CE" w:rsidP="00C051CE">
      <w:pPr>
        <w:rPr>
          <w:rFonts w:ascii="Arial" w:hAnsi="Arial" w:cs="Arial"/>
        </w:rPr>
      </w:pPr>
    </w:p>
    <w:p w:rsidR="00C051CE" w:rsidRPr="00122AA1" w:rsidRDefault="00C051CE" w:rsidP="00C051CE">
      <w:pPr>
        <w:rPr>
          <w:rFonts w:ascii="Arial" w:hAnsi="Arial" w:cs="Arial"/>
        </w:rPr>
      </w:pPr>
      <w:r w:rsidRPr="00122AA1">
        <w:rPr>
          <w:rFonts w:ascii="Arial" w:hAnsi="Arial" w:cs="Arial"/>
        </w:rPr>
        <w:t xml:space="preserve">Developments in consumer and industrial devices and the networks that connect them </w:t>
      </w:r>
      <w:r w:rsidR="00866022" w:rsidRPr="00122AA1">
        <w:rPr>
          <w:rFonts w:ascii="Arial" w:hAnsi="Arial" w:cs="Arial"/>
        </w:rPr>
        <w:t xml:space="preserve">have enabled this </w:t>
      </w:r>
      <w:r w:rsidRPr="00122AA1">
        <w:rPr>
          <w:rFonts w:ascii="Arial" w:hAnsi="Arial" w:cs="Arial"/>
        </w:rPr>
        <w:t xml:space="preserve">near-continuous collection of </w:t>
      </w:r>
      <w:r w:rsidR="00DA6CB7" w:rsidRPr="00122AA1">
        <w:rPr>
          <w:rFonts w:ascii="Arial" w:hAnsi="Arial" w:cs="Arial"/>
        </w:rPr>
        <w:t xml:space="preserve">personal and behavioural data. </w:t>
      </w:r>
      <w:r w:rsidRPr="00122AA1">
        <w:rPr>
          <w:rFonts w:ascii="Arial" w:hAnsi="Arial" w:cs="Arial"/>
        </w:rPr>
        <w:t>A var</w:t>
      </w:r>
      <w:r w:rsidR="00E06A34" w:rsidRPr="00122AA1">
        <w:rPr>
          <w:rFonts w:ascii="Arial" w:hAnsi="Arial" w:cs="Arial"/>
        </w:rPr>
        <w:t xml:space="preserve">iety of software applications, </w:t>
      </w:r>
      <w:r w:rsidRPr="00122AA1">
        <w:rPr>
          <w:rFonts w:ascii="Arial" w:hAnsi="Arial" w:cs="Arial"/>
        </w:rPr>
        <w:t>including social networking sites, mobile device apps and online behavi</w:t>
      </w:r>
      <w:r w:rsidR="00E06A34" w:rsidRPr="00122AA1">
        <w:rPr>
          <w:rFonts w:ascii="Arial" w:hAnsi="Arial" w:cs="Arial"/>
        </w:rPr>
        <w:t xml:space="preserve">our tracking ‘cookies’, </w:t>
      </w:r>
      <w:r w:rsidRPr="00122AA1">
        <w:rPr>
          <w:rFonts w:ascii="Arial" w:hAnsi="Arial" w:cs="Arial"/>
        </w:rPr>
        <w:t xml:space="preserve">are exploiting these device capabilities and generating substantial volumes of rich data about </w:t>
      </w:r>
      <w:r w:rsidR="00BF5702" w:rsidRPr="00122AA1">
        <w:rPr>
          <w:rFonts w:ascii="Arial" w:hAnsi="Arial" w:cs="Arial"/>
        </w:rPr>
        <w:t>the</w:t>
      </w:r>
      <w:r w:rsidRPr="00122AA1">
        <w:rPr>
          <w:rFonts w:ascii="Arial" w:hAnsi="Arial" w:cs="Arial"/>
        </w:rPr>
        <w:t xml:space="preserve"> social and economic activit</w:t>
      </w:r>
      <w:r w:rsidR="00E06A34" w:rsidRPr="00122AA1">
        <w:rPr>
          <w:rFonts w:ascii="Arial" w:hAnsi="Arial" w:cs="Arial"/>
        </w:rPr>
        <w:t>ies</w:t>
      </w:r>
      <w:r w:rsidR="00BF5702" w:rsidRPr="00122AA1">
        <w:rPr>
          <w:rFonts w:ascii="Arial" w:hAnsi="Arial" w:cs="Arial"/>
        </w:rPr>
        <w:t xml:space="preserve"> of individuals</w:t>
      </w:r>
      <w:r w:rsidR="00E06A34" w:rsidRPr="00122AA1">
        <w:rPr>
          <w:rFonts w:ascii="Arial" w:hAnsi="Arial" w:cs="Arial"/>
        </w:rPr>
        <w:t>—</w:t>
      </w:r>
      <w:r w:rsidR="00DA6CB7" w:rsidRPr="00122AA1">
        <w:rPr>
          <w:rFonts w:ascii="Arial" w:hAnsi="Arial" w:cs="Arial"/>
        </w:rPr>
        <w:t xml:space="preserve">both online and offline. </w:t>
      </w:r>
      <w:r w:rsidRPr="00122AA1">
        <w:rPr>
          <w:rFonts w:ascii="Arial" w:hAnsi="Arial" w:cs="Arial"/>
        </w:rPr>
        <w:t>Organisations are increasingly looking to personal and behavioural data for insights that will drive more effective marketing practices and improve service delivery efficiency</w:t>
      </w:r>
      <w:r w:rsidR="00DA6CB7" w:rsidRPr="00122AA1">
        <w:rPr>
          <w:rFonts w:ascii="Arial" w:hAnsi="Arial" w:cs="Arial"/>
        </w:rPr>
        <w:t xml:space="preserve">. </w:t>
      </w:r>
      <w:r w:rsidRPr="00122AA1">
        <w:rPr>
          <w:rFonts w:ascii="Arial" w:hAnsi="Arial" w:cs="Arial"/>
        </w:rPr>
        <w:t>In combination</w:t>
      </w:r>
      <w:r w:rsidR="00381D8A" w:rsidRPr="00122AA1">
        <w:rPr>
          <w:rFonts w:ascii="Arial" w:hAnsi="Arial" w:cs="Arial"/>
        </w:rPr>
        <w:t>,</w:t>
      </w:r>
      <w:r w:rsidRPr="00122AA1">
        <w:rPr>
          <w:rFonts w:ascii="Arial" w:hAnsi="Arial" w:cs="Arial"/>
        </w:rPr>
        <w:t xml:space="preserve"> these developments have created a personal data environment that is vastly different from that which characte</w:t>
      </w:r>
      <w:r w:rsidR="00DA6CB7" w:rsidRPr="00122AA1">
        <w:rPr>
          <w:rFonts w:ascii="Arial" w:hAnsi="Arial" w:cs="Arial"/>
        </w:rPr>
        <w:t>rised the pre-digital economy.</w:t>
      </w:r>
    </w:p>
    <w:p w:rsidR="00C051CE" w:rsidRPr="00122AA1" w:rsidRDefault="00C051CE" w:rsidP="00C051CE">
      <w:pPr>
        <w:rPr>
          <w:rFonts w:ascii="Arial" w:hAnsi="Arial" w:cs="Arial"/>
        </w:rPr>
      </w:pPr>
    </w:p>
    <w:p w:rsidR="00C051CE" w:rsidRPr="00122AA1" w:rsidRDefault="00C051CE" w:rsidP="00C051CE">
      <w:pPr>
        <w:rPr>
          <w:rFonts w:ascii="Arial" w:hAnsi="Arial" w:cs="Arial"/>
        </w:rPr>
      </w:pPr>
      <w:r w:rsidRPr="00122AA1">
        <w:rPr>
          <w:rFonts w:ascii="Arial" w:hAnsi="Arial" w:cs="Arial"/>
        </w:rPr>
        <w:t>Personal information has a particular meaning for privacy and communications data protection.</w:t>
      </w:r>
      <w:r w:rsidRPr="00122AA1">
        <w:rPr>
          <w:rStyle w:val="FootnoteReference"/>
          <w:rFonts w:cs="Arial"/>
        </w:rPr>
        <w:footnoteReference w:id="2"/>
      </w:r>
      <w:r w:rsidR="00DA6CB7" w:rsidRPr="00122AA1">
        <w:rPr>
          <w:rFonts w:ascii="Arial" w:hAnsi="Arial" w:cs="Arial"/>
        </w:rPr>
        <w:t xml:space="preserve"> </w:t>
      </w:r>
      <w:r w:rsidRPr="00122AA1">
        <w:rPr>
          <w:rFonts w:ascii="Arial" w:hAnsi="Arial" w:cs="Arial"/>
        </w:rPr>
        <w:t xml:space="preserve">A steady increase in the </w:t>
      </w:r>
      <w:r w:rsidR="00381D8A" w:rsidRPr="00122AA1">
        <w:rPr>
          <w:rFonts w:ascii="Arial" w:hAnsi="Arial" w:cs="Arial"/>
        </w:rPr>
        <w:t xml:space="preserve">number </w:t>
      </w:r>
      <w:r w:rsidRPr="00122AA1">
        <w:rPr>
          <w:rFonts w:ascii="Arial" w:hAnsi="Arial" w:cs="Arial"/>
        </w:rPr>
        <w:t>and range of activities being undertaken in the digital environment is resulting in citizens disclosing increasing am</w:t>
      </w:r>
      <w:r w:rsidR="00DA6CB7" w:rsidRPr="00122AA1">
        <w:rPr>
          <w:rFonts w:ascii="Arial" w:hAnsi="Arial" w:cs="Arial"/>
        </w:rPr>
        <w:t xml:space="preserve">ounts of personal information. </w:t>
      </w:r>
      <w:r w:rsidRPr="00122AA1">
        <w:rPr>
          <w:rFonts w:ascii="Arial" w:hAnsi="Arial" w:cs="Arial"/>
        </w:rPr>
        <w:t>Much of this informa</w:t>
      </w:r>
      <w:r w:rsidR="00DA6CB7" w:rsidRPr="00122AA1">
        <w:rPr>
          <w:rFonts w:ascii="Arial" w:hAnsi="Arial" w:cs="Arial"/>
        </w:rPr>
        <w:t xml:space="preserve">tion is disclosed voluntarily. </w:t>
      </w:r>
      <w:r w:rsidRPr="00122AA1">
        <w:rPr>
          <w:rFonts w:ascii="Arial" w:hAnsi="Arial" w:cs="Arial"/>
        </w:rPr>
        <w:t>However, many popular e-commerce and social networking applications are coded to enable detailed records of online behaviour to be recorded and analysed</w:t>
      </w:r>
      <w:r w:rsidR="00381D8A" w:rsidRPr="00122AA1">
        <w:rPr>
          <w:rFonts w:ascii="Arial" w:hAnsi="Arial" w:cs="Arial"/>
        </w:rPr>
        <w:t>. M</w:t>
      </w:r>
      <w:r w:rsidRPr="00122AA1">
        <w:rPr>
          <w:rFonts w:ascii="Arial" w:hAnsi="Arial" w:cs="Arial"/>
        </w:rPr>
        <w:t xml:space="preserve">any users </w:t>
      </w:r>
      <w:r w:rsidR="00381D8A" w:rsidRPr="00122AA1">
        <w:rPr>
          <w:rFonts w:ascii="Arial" w:hAnsi="Arial" w:cs="Arial"/>
        </w:rPr>
        <w:t xml:space="preserve">are </w:t>
      </w:r>
      <w:r w:rsidRPr="00122AA1">
        <w:rPr>
          <w:rFonts w:ascii="Arial" w:hAnsi="Arial" w:cs="Arial"/>
        </w:rPr>
        <w:t>unaware o</w:t>
      </w:r>
      <w:r w:rsidR="00DA6CB7" w:rsidRPr="00122AA1">
        <w:rPr>
          <w:rFonts w:ascii="Arial" w:hAnsi="Arial" w:cs="Arial"/>
        </w:rPr>
        <w:t xml:space="preserve">f the scale of such practices. </w:t>
      </w:r>
    </w:p>
    <w:p w:rsidR="003058D0" w:rsidRPr="00122AA1" w:rsidRDefault="003058D0" w:rsidP="00C051CE">
      <w:pPr>
        <w:rPr>
          <w:rFonts w:ascii="Arial" w:hAnsi="Arial" w:cs="Arial"/>
        </w:rPr>
      </w:pPr>
    </w:p>
    <w:p w:rsidR="003058D0" w:rsidRPr="00122AA1" w:rsidRDefault="00C051CE" w:rsidP="003058D0">
      <w:pPr>
        <w:rPr>
          <w:rFonts w:ascii="Arial" w:hAnsi="Arial" w:cs="Arial"/>
        </w:rPr>
      </w:pPr>
      <w:r w:rsidRPr="00122AA1">
        <w:rPr>
          <w:rFonts w:ascii="Arial" w:hAnsi="Arial" w:cs="Arial"/>
        </w:rPr>
        <w:t>This information also has a growing financial value. Personal data has been referred to as the ‘new oil’</w:t>
      </w:r>
      <w:r w:rsidR="00381D8A" w:rsidRPr="00122AA1">
        <w:rPr>
          <w:rFonts w:ascii="Arial" w:hAnsi="Arial" w:cs="Arial"/>
        </w:rPr>
        <w:t>,</w:t>
      </w:r>
      <w:r w:rsidRPr="00122AA1">
        <w:rPr>
          <w:rFonts w:ascii="Arial" w:hAnsi="Arial" w:cs="Arial"/>
        </w:rPr>
        <w:t xml:space="preserve"> with value moving towards organisations that automate and mine personal data.</w:t>
      </w:r>
      <w:r w:rsidRPr="00122AA1">
        <w:rPr>
          <w:rStyle w:val="FootnoteReference"/>
          <w:rFonts w:cs="Arial"/>
        </w:rPr>
        <w:footnoteReference w:id="3"/>
      </w:r>
      <w:r w:rsidRPr="00122AA1">
        <w:rPr>
          <w:rFonts w:ascii="Arial" w:hAnsi="Arial" w:cs="Arial"/>
        </w:rPr>
        <w:t xml:space="preserve"> More than US$2 billion a year is spent on acquiring third-party personal data in the United States.</w:t>
      </w:r>
      <w:r w:rsidRPr="00122AA1">
        <w:rPr>
          <w:rStyle w:val="FootnoteReference"/>
          <w:rFonts w:cs="Arial"/>
        </w:rPr>
        <w:footnoteReference w:id="4"/>
      </w:r>
      <w:r w:rsidRPr="00122AA1">
        <w:rPr>
          <w:rFonts w:ascii="Arial" w:hAnsi="Arial" w:cs="Arial"/>
        </w:rPr>
        <w:t xml:space="preserve"> </w:t>
      </w:r>
      <w:r w:rsidR="003058D0" w:rsidRPr="00122AA1">
        <w:rPr>
          <w:rFonts w:ascii="Arial" w:hAnsi="Arial" w:cs="Arial"/>
        </w:rPr>
        <w:t xml:space="preserve">The collection and analysis of anonymised location and behavioural information to develop user profiles and personalised marketing material </w:t>
      </w:r>
      <w:r w:rsidR="00381D8A" w:rsidRPr="00122AA1">
        <w:rPr>
          <w:rFonts w:ascii="Arial" w:hAnsi="Arial" w:cs="Arial"/>
        </w:rPr>
        <w:t>is</w:t>
      </w:r>
      <w:r w:rsidR="003058D0" w:rsidRPr="00122AA1">
        <w:rPr>
          <w:rFonts w:ascii="Arial" w:hAnsi="Arial" w:cs="Arial"/>
        </w:rPr>
        <w:t xml:space="preserve"> broadening </w:t>
      </w:r>
      <w:r w:rsidR="00381D8A" w:rsidRPr="00122AA1">
        <w:rPr>
          <w:rFonts w:ascii="Arial" w:hAnsi="Arial" w:cs="Arial"/>
        </w:rPr>
        <w:t xml:space="preserve">the </w:t>
      </w:r>
      <w:r w:rsidR="003058D0" w:rsidRPr="00122AA1">
        <w:rPr>
          <w:rFonts w:ascii="Arial" w:hAnsi="Arial" w:cs="Arial"/>
        </w:rPr>
        <w:t>meaning attached to personal information.</w:t>
      </w:r>
    </w:p>
    <w:p w:rsidR="00C051CE" w:rsidRPr="00122AA1" w:rsidRDefault="00C051CE" w:rsidP="00C051CE">
      <w:pPr>
        <w:rPr>
          <w:rFonts w:ascii="Arial" w:hAnsi="Arial" w:cs="Arial"/>
        </w:rPr>
      </w:pPr>
    </w:p>
    <w:p w:rsidR="00063844" w:rsidRPr="00122AA1" w:rsidRDefault="00063844" w:rsidP="00063844">
      <w:pPr>
        <w:rPr>
          <w:rFonts w:ascii="Arial" w:hAnsi="Arial" w:cs="Arial"/>
        </w:rPr>
      </w:pPr>
      <w:r w:rsidRPr="00122AA1">
        <w:rPr>
          <w:rFonts w:ascii="Arial" w:hAnsi="Arial" w:cs="Arial"/>
        </w:rPr>
        <w:t>Citizens have expressed particular concerns about</w:t>
      </w:r>
      <w:r w:rsidR="00BC15F7" w:rsidRPr="00122AA1">
        <w:rPr>
          <w:rFonts w:ascii="Arial" w:hAnsi="Arial" w:cs="Arial"/>
        </w:rPr>
        <w:t xml:space="preserve"> how they manage risks to personal information in the digital data environment, particularly risks focusing on financial loss, reputation and mana</w:t>
      </w:r>
      <w:r w:rsidR="00DA6CB7" w:rsidRPr="00122AA1">
        <w:rPr>
          <w:rFonts w:ascii="Arial" w:hAnsi="Arial" w:cs="Arial"/>
        </w:rPr>
        <w:t xml:space="preserve">ging their digital identities. </w:t>
      </w:r>
      <w:r w:rsidR="00BC15F7" w:rsidRPr="00122AA1">
        <w:rPr>
          <w:rFonts w:ascii="Arial" w:hAnsi="Arial" w:cs="Arial"/>
        </w:rPr>
        <w:t>Despite having particular concerns, citizens also consider the protection of personal information is a responsibility shared equally by users, service providers and governments</w:t>
      </w:r>
      <w:r w:rsidR="00381D8A" w:rsidRPr="00122AA1">
        <w:rPr>
          <w:rFonts w:ascii="Arial" w:hAnsi="Arial" w:cs="Arial"/>
        </w:rPr>
        <w:t>. They</w:t>
      </w:r>
      <w:r w:rsidR="00BC15F7" w:rsidRPr="00122AA1">
        <w:rPr>
          <w:rFonts w:ascii="Arial" w:hAnsi="Arial" w:cs="Arial"/>
        </w:rPr>
        <w:t xml:space="preserve"> are </w:t>
      </w:r>
      <w:r w:rsidR="00381D8A" w:rsidRPr="00122AA1">
        <w:rPr>
          <w:rFonts w:ascii="Arial" w:hAnsi="Arial" w:cs="Arial"/>
        </w:rPr>
        <w:t xml:space="preserve">also </w:t>
      </w:r>
      <w:r w:rsidR="00BC15F7" w:rsidRPr="00122AA1">
        <w:rPr>
          <w:rFonts w:ascii="Arial" w:hAnsi="Arial" w:cs="Arial"/>
        </w:rPr>
        <w:t>looking for assistance in operating in a complex digital data environment.</w:t>
      </w:r>
    </w:p>
    <w:p w:rsidR="00BC15F7" w:rsidRPr="00122AA1" w:rsidRDefault="00BC15F7" w:rsidP="00063844">
      <w:pPr>
        <w:rPr>
          <w:rFonts w:ascii="Arial" w:hAnsi="Arial" w:cs="Arial"/>
        </w:rPr>
      </w:pPr>
    </w:p>
    <w:p w:rsidR="00063844" w:rsidRPr="00122AA1" w:rsidRDefault="00C051CE" w:rsidP="00C051CE">
      <w:pPr>
        <w:rPr>
          <w:rFonts w:ascii="Arial" w:hAnsi="Arial" w:cs="Arial"/>
        </w:rPr>
      </w:pPr>
      <w:r w:rsidRPr="00122AA1">
        <w:rPr>
          <w:rFonts w:ascii="Arial" w:hAnsi="Arial" w:cs="Arial"/>
        </w:rPr>
        <w:t>The consequences of these developments are that issues previously confined to one sector may span a range of different services</w:t>
      </w:r>
      <w:r w:rsidR="00381D8A" w:rsidRPr="00122AA1">
        <w:rPr>
          <w:rFonts w:ascii="Arial" w:hAnsi="Arial" w:cs="Arial"/>
        </w:rPr>
        <w:t xml:space="preserve">. Moreover, </w:t>
      </w:r>
      <w:r w:rsidRPr="00122AA1">
        <w:rPr>
          <w:rFonts w:ascii="Arial" w:hAnsi="Arial" w:cs="Arial"/>
        </w:rPr>
        <w:t>new issues are emerging that do not neatly fit within e</w:t>
      </w:r>
      <w:r w:rsidR="00DA6CB7" w:rsidRPr="00122AA1">
        <w:rPr>
          <w:rFonts w:ascii="Arial" w:hAnsi="Arial" w:cs="Arial"/>
        </w:rPr>
        <w:t xml:space="preserve">xisting regulatory frameworks. </w:t>
      </w:r>
      <w:r w:rsidRPr="00122AA1">
        <w:rPr>
          <w:rFonts w:ascii="Arial" w:hAnsi="Arial" w:cs="Arial"/>
        </w:rPr>
        <w:t xml:space="preserve">A substantial amount of communications activity is occurring in environments that were not envisioned when the confidentiality safeguards in the privacy legislation and communications regulation were designed. </w:t>
      </w:r>
    </w:p>
    <w:p w:rsidR="00063844" w:rsidRPr="00122AA1" w:rsidRDefault="00063844" w:rsidP="00C051CE">
      <w:pPr>
        <w:rPr>
          <w:rFonts w:ascii="Arial" w:hAnsi="Arial" w:cs="Arial"/>
        </w:rPr>
      </w:pPr>
    </w:p>
    <w:p w:rsidR="006F483C" w:rsidRPr="00122AA1" w:rsidRDefault="00C051CE" w:rsidP="006F483C">
      <w:pPr>
        <w:spacing w:after="80"/>
        <w:rPr>
          <w:rFonts w:ascii="Arial" w:hAnsi="Arial" w:cs="Arial"/>
        </w:rPr>
      </w:pPr>
      <w:r w:rsidRPr="00122AA1">
        <w:rPr>
          <w:rFonts w:ascii="Arial" w:hAnsi="Arial" w:cs="Arial"/>
        </w:rPr>
        <w:t>There are unique challenges in considering whether</w:t>
      </w:r>
      <w:r w:rsidR="00381D8A" w:rsidRPr="00122AA1">
        <w:rPr>
          <w:rFonts w:ascii="Arial" w:hAnsi="Arial" w:cs="Arial"/>
        </w:rPr>
        <w:t>:</w:t>
      </w:r>
      <w:r w:rsidRPr="00122AA1">
        <w:rPr>
          <w:rFonts w:ascii="Arial" w:hAnsi="Arial" w:cs="Arial"/>
        </w:rPr>
        <w:t xml:space="preserve"> </w:t>
      </w:r>
    </w:p>
    <w:p w:rsidR="00331B4E" w:rsidRPr="00122AA1" w:rsidRDefault="00EA0914" w:rsidP="00352078">
      <w:pPr>
        <w:pStyle w:val="ListBullet"/>
        <w:rPr>
          <w:rFonts w:ascii="Arial" w:hAnsi="Arial" w:cs="Arial"/>
        </w:rPr>
      </w:pPr>
      <w:r w:rsidRPr="00122AA1">
        <w:rPr>
          <w:rFonts w:ascii="Arial" w:hAnsi="Arial" w:cs="Arial"/>
        </w:rPr>
        <w:t>the suite of existing regulatory safeguards translate into the digital environment</w:t>
      </w:r>
    </w:p>
    <w:p w:rsidR="00331B4E" w:rsidRPr="00122AA1" w:rsidRDefault="00EA0914" w:rsidP="00352078">
      <w:pPr>
        <w:pStyle w:val="ListBullet"/>
        <w:spacing w:after="240"/>
        <w:rPr>
          <w:rFonts w:ascii="Arial" w:hAnsi="Arial" w:cs="Arial"/>
        </w:rPr>
      </w:pPr>
      <w:r w:rsidRPr="00122AA1">
        <w:rPr>
          <w:rFonts w:ascii="Arial" w:hAnsi="Arial" w:cs="Arial"/>
        </w:rPr>
        <w:t xml:space="preserve">other approaches are needed for safeguarding </w:t>
      </w:r>
      <w:r w:rsidR="00BF5702" w:rsidRPr="00122AA1">
        <w:rPr>
          <w:rFonts w:ascii="Arial" w:hAnsi="Arial" w:cs="Arial"/>
        </w:rPr>
        <w:t>the</w:t>
      </w:r>
      <w:r w:rsidRPr="00122AA1">
        <w:rPr>
          <w:rFonts w:ascii="Arial" w:hAnsi="Arial" w:cs="Arial"/>
        </w:rPr>
        <w:t xml:space="preserve"> privacy and personal data</w:t>
      </w:r>
      <w:r w:rsidR="00BF5702" w:rsidRPr="00122AA1">
        <w:rPr>
          <w:rFonts w:ascii="Arial" w:hAnsi="Arial" w:cs="Arial"/>
        </w:rPr>
        <w:t xml:space="preserve"> of citizens and consumers</w:t>
      </w:r>
      <w:r w:rsidRPr="00122AA1">
        <w:rPr>
          <w:rFonts w:ascii="Arial" w:hAnsi="Arial" w:cs="Arial"/>
        </w:rPr>
        <w:t xml:space="preserve"> in a networked society and information economy. </w:t>
      </w:r>
    </w:p>
    <w:p w:rsidR="00331B4E" w:rsidRPr="00122AA1" w:rsidRDefault="00EA0914" w:rsidP="00352078">
      <w:pPr>
        <w:rPr>
          <w:rFonts w:ascii="Arial" w:hAnsi="Arial" w:cs="Arial"/>
        </w:rPr>
      </w:pPr>
      <w:r w:rsidRPr="00122AA1">
        <w:rPr>
          <w:rFonts w:ascii="Arial" w:hAnsi="Arial" w:cs="Arial"/>
        </w:rPr>
        <w:t xml:space="preserve">While it is likely that a mix of interventions will continue to be required, the nature and scope of these may need to change to address the specific and changing circumstances of a networked </w:t>
      </w:r>
      <w:r w:rsidR="00BF5702" w:rsidRPr="00122AA1">
        <w:rPr>
          <w:rFonts w:ascii="Arial" w:hAnsi="Arial" w:cs="Arial"/>
        </w:rPr>
        <w:t xml:space="preserve">information </w:t>
      </w:r>
      <w:r w:rsidRPr="00122AA1">
        <w:rPr>
          <w:rFonts w:ascii="Arial" w:hAnsi="Arial" w:cs="Arial"/>
        </w:rPr>
        <w:t>economy.</w:t>
      </w:r>
    </w:p>
    <w:p w:rsidR="00352078" w:rsidRPr="00122AA1" w:rsidRDefault="00352078" w:rsidP="00352078">
      <w:pPr>
        <w:rPr>
          <w:rFonts w:ascii="Arial" w:hAnsi="Arial" w:cs="Arial"/>
        </w:rPr>
      </w:pPr>
    </w:p>
    <w:p w:rsidR="00C051CE" w:rsidRPr="00122AA1" w:rsidRDefault="006F483C" w:rsidP="00C051CE">
      <w:pPr>
        <w:rPr>
          <w:rFonts w:ascii="Arial" w:hAnsi="Arial" w:cs="Arial"/>
        </w:rPr>
      </w:pPr>
      <w:r w:rsidRPr="00122AA1">
        <w:rPr>
          <w:rFonts w:ascii="Arial" w:hAnsi="Arial" w:cs="Arial"/>
        </w:rPr>
        <w:t xml:space="preserve">It will also be important to provide a single coherent framework within which different interventions might operate. Among other things, such a framework could </w:t>
      </w:r>
      <w:r w:rsidR="004F4FAE" w:rsidRPr="00122AA1">
        <w:rPr>
          <w:rFonts w:ascii="Arial" w:hAnsi="Arial" w:cs="Arial"/>
        </w:rPr>
        <w:t>incorporate</w:t>
      </w:r>
      <w:r w:rsidRPr="00122AA1">
        <w:rPr>
          <w:rFonts w:ascii="Arial" w:hAnsi="Arial" w:cs="Arial"/>
        </w:rPr>
        <w:t xml:space="preserve"> </w:t>
      </w:r>
      <w:r w:rsidR="00FF7858" w:rsidRPr="00122AA1">
        <w:rPr>
          <w:rFonts w:ascii="Arial" w:hAnsi="Arial" w:cs="Arial"/>
        </w:rPr>
        <w:t xml:space="preserve">a </w:t>
      </w:r>
      <w:r w:rsidRPr="00122AA1">
        <w:rPr>
          <w:rFonts w:ascii="Arial" w:hAnsi="Arial" w:cs="Arial"/>
        </w:rPr>
        <w:t>broaden</w:t>
      </w:r>
      <w:r w:rsidR="00FF7858" w:rsidRPr="00122AA1">
        <w:rPr>
          <w:rFonts w:ascii="Arial" w:hAnsi="Arial" w:cs="Arial"/>
        </w:rPr>
        <w:t>ed</w:t>
      </w:r>
      <w:r w:rsidRPr="00122AA1">
        <w:rPr>
          <w:rFonts w:ascii="Arial" w:hAnsi="Arial" w:cs="Arial"/>
        </w:rPr>
        <w:t xml:space="preserve"> </w:t>
      </w:r>
      <w:r w:rsidR="006F4E60" w:rsidRPr="00122AA1">
        <w:rPr>
          <w:rFonts w:ascii="Arial" w:hAnsi="Arial" w:cs="Arial"/>
        </w:rPr>
        <w:t xml:space="preserve">definition </w:t>
      </w:r>
      <w:r w:rsidRPr="00122AA1">
        <w:rPr>
          <w:rFonts w:ascii="Arial" w:hAnsi="Arial" w:cs="Arial"/>
        </w:rPr>
        <w:t>of personal information</w:t>
      </w:r>
      <w:r w:rsidR="006F4E60" w:rsidRPr="00122AA1">
        <w:rPr>
          <w:rFonts w:ascii="Arial" w:hAnsi="Arial" w:cs="Arial"/>
        </w:rPr>
        <w:t xml:space="preserve">, as well as addressing changing </w:t>
      </w:r>
      <w:r w:rsidRPr="00122AA1">
        <w:rPr>
          <w:rFonts w:ascii="Arial" w:hAnsi="Arial" w:cs="Arial"/>
        </w:rPr>
        <w:t xml:space="preserve">citizens’ concerns about the handling of their personal information in the modern </w:t>
      </w:r>
      <w:r w:rsidR="00BF5702" w:rsidRPr="00122AA1">
        <w:rPr>
          <w:rFonts w:ascii="Arial" w:hAnsi="Arial" w:cs="Arial"/>
        </w:rPr>
        <w:t xml:space="preserve">information </w:t>
      </w:r>
      <w:r w:rsidRPr="00122AA1">
        <w:rPr>
          <w:rFonts w:ascii="Arial" w:hAnsi="Arial" w:cs="Arial"/>
        </w:rPr>
        <w:t>economy.</w:t>
      </w:r>
    </w:p>
    <w:p w:rsidR="00331B4E" w:rsidRPr="00122AA1" w:rsidRDefault="00331B4E">
      <w:pPr>
        <w:rPr>
          <w:rFonts w:ascii="Arial" w:hAnsi="Arial" w:cs="Arial"/>
        </w:rPr>
      </w:pPr>
    </w:p>
    <w:p w:rsidR="00BC15F7" w:rsidRPr="00122AA1" w:rsidRDefault="006F483C" w:rsidP="00C051CE">
      <w:pPr>
        <w:spacing w:after="80"/>
        <w:rPr>
          <w:rFonts w:ascii="Arial" w:hAnsi="Arial" w:cs="Arial"/>
        </w:rPr>
      </w:pPr>
      <w:r w:rsidRPr="00122AA1">
        <w:rPr>
          <w:rFonts w:ascii="Arial" w:hAnsi="Arial" w:cs="Arial"/>
        </w:rPr>
        <w:t xml:space="preserve">The ACMA undertakes research to identify the dimensions of digital technology change and shifts in the behaviour and expectations of digital citizens. The evolving personal information and digital data environment is </w:t>
      </w:r>
      <w:r w:rsidR="006F4E60" w:rsidRPr="00122AA1">
        <w:rPr>
          <w:rFonts w:ascii="Arial" w:hAnsi="Arial" w:cs="Arial"/>
        </w:rPr>
        <w:t xml:space="preserve">a </w:t>
      </w:r>
      <w:r w:rsidRPr="00122AA1">
        <w:rPr>
          <w:rFonts w:ascii="Arial" w:hAnsi="Arial" w:cs="Arial"/>
        </w:rPr>
        <w:t>key developmen</w:t>
      </w:r>
      <w:r w:rsidR="006F4E60" w:rsidRPr="00122AA1">
        <w:rPr>
          <w:rFonts w:ascii="Arial" w:hAnsi="Arial" w:cs="Arial"/>
        </w:rPr>
        <w:t xml:space="preserve">t </w:t>
      </w:r>
      <w:r w:rsidRPr="00122AA1">
        <w:rPr>
          <w:rFonts w:ascii="Arial" w:hAnsi="Arial" w:cs="Arial"/>
        </w:rPr>
        <w:t xml:space="preserve">having a significant impact on current regulatory settings. Consequently, </w:t>
      </w:r>
      <w:r w:rsidR="006F4E60" w:rsidRPr="00122AA1">
        <w:rPr>
          <w:rFonts w:ascii="Arial" w:hAnsi="Arial" w:cs="Arial"/>
        </w:rPr>
        <w:t xml:space="preserve">it </w:t>
      </w:r>
      <w:r w:rsidRPr="00122AA1">
        <w:rPr>
          <w:rFonts w:ascii="Arial" w:hAnsi="Arial" w:cs="Arial"/>
        </w:rPr>
        <w:t>offer</w:t>
      </w:r>
      <w:r w:rsidR="006F4E60" w:rsidRPr="00122AA1">
        <w:rPr>
          <w:rFonts w:ascii="Arial" w:hAnsi="Arial" w:cs="Arial"/>
        </w:rPr>
        <w:t>s</w:t>
      </w:r>
      <w:r w:rsidRPr="00122AA1">
        <w:rPr>
          <w:rFonts w:ascii="Arial" w:hAnsi="Arial" w:cs="Arial"/>
        </w:rPr>
        <w:t xml:space="preserve"> insights into how any future arrangements should be designed.</w:t>
      </w:r>
    </w:p>
    <w:p w:rsidR="00BE4C11" w:rsidRPr="00122AA1" w:rsidRDefault="00702075" w:rsidP="00777BA2">
      <w:pPr>
        <w:pStyle w:val="Heading1"/>
        <w:rPr>
          <w:rFonts w:ascii="Arial" w:hAnsi="Arial"/>
        </w:rPr>
      </w:pPr>
      <w:bookmarkStart w:id="0" w:name="_Toc359574745"/>
      <w:r w:rsidRPr="00122AA1">
        <w:rPr>
          <w:rFonts w:ascii="Arial" w:hAnsi="Arial"/>
        </w:rPr>
        <w:t>Introduction</w:t>
      </w:r>
      <w:bookmarkEnd w:id="0"/>
    </w:p>
    <w:p w:rsidR="00CF254D" w:rsidRPr="00122AA1" w:rsidRDefault="00BF5702" w:rsidP="00702075">
      <w:pPr>
        <w:rPr>
          <w:rFonts w:ascii="Arial" w:hAnsi="Arial" w:cs="Arial"/>
        </w:rPr>
      </w:pPr>
      <w:r w:rsidRPr="00122AA1">
        <w:rPr>
          <w:rFonts w:ascii="Arial" w:hAnsi="Arial" w:cs="Arial"/>
        </w:rPr>
        <w:t>Citizens and consumers are undertaking an increasing range of social and economic activities online, including the creation of significa</w:t>
      </w:r>
      <w:r w:rsidR="00352078" w:rsidRPr="00122AA1">
        <w:rPr>
          <w:rFonts w:ascii="Arial" w:hAnsi="Arial" w:cs="Arial"/>
        </w:rPr>
        <w:t xml:space="preserve">nt amounts of digital content. </w:t>
      </w:r>
      <w:r w:rsidRPr="00122AA1">
        <w:rPr>
          <w:rFonts w:ascii="Arial" w:hAnsi="Arial" w:cs="Arial"/>
        </w:rPr>
        <w:t>Contemporary devices, networks and apps allow citizens to interact with each other an</w:t>
      </w:r>
      <w:r w:rsidR="008901CB" w:rsidRPr="00122AA1">
        <w:rPr>
          <w:rFonts w:ascii="Arial" w:hAnsi="Arial" w:cs="Arial"/>
        </w:rPr>
        <w:t>d</w:t>
      </w:r>
      <w:r w:rsidRPr="00122AA1">
        <w:rPr>
          <w:rFonts w:ascii="Arial" w:hAnsi="Arial" w:cs="Arial"/>
        </w:rPr>
        <w:t xml:space="preserve"> organisations in highly personalised ways. </w:t>
      </w:r>
      <w:r w:rsidR="00702075" w:rsidRPr="00122AA1">
        <w:rPr>
          <w:rFonts w:ascii="Arial" w:hAnsi="Arial" w:cs="Arial"/>
        </w:rPr>
        <w:t xml:space="preserve">Early use of the internet offered </w:t>
      </w:r>
      <w:r w:rsidR="00101F54" w:rsidRPr="00122AA1">
        <w:rPr>
          <w:rFonts w:ascii="Arial" w:hAnsi="Arial" w:cs="Arial"/>
        </w:rPr>
        <w:t xml:space="preserve">individuals the </w:t>
      </w:r>
      <w:r w:rsidR="00702075" w:rsidRPr="00122AA1">
        <w:rPr>
          <w:rFonts w:ascii="Arial" w:hAnsi="Arial" w:cs="Arial"/>
        </w:rPr>
        <w:t>opportunit</w:t>
      </w:r>
      <w:r w:rsidR="00101F54" w:rsidRPr="00122AA1">
        <w:rPr>
          <w:rFonts w:ascii="Arial" w:hAnsi="Arial" w:cs="Arial"/>
        </w:rPr>
        <w:t>y</w:t>
      </w:r>
      <w:r w:rsidR="00702075" w:rsidRPr="00122AA1">
        <w:rPr>
          <w:rFonts w:ascii="Arial" w:hAnsi="Arial" w:cs="Arial"/>
        </w:rPr>
        <w:t xml:space="preserve"> to seek information and interact with other users</w:t>
      </w:r>
      <w:r w:rsidR="00666B60" w:rsidRPr="00122AA1">
        <w:rPr>
          <w:rFonts w:ascii="Arial" w:hAnsi="Arial" w:cs="Arial"/>
        </w:rPr>
        <w:t xml:space="preserve"> without </w:t>
      </w:r>
      <w:r w:rsidR="00101F54" w:rsidRPr="00122AA1">
        <w:rPr>
          <w:rFonts w:ascii="Arial" w:hAnsi="Arial" w:cs="Arial"/>
        </w:rPr>
        <w:t>having</w:t>
      </w:r>
      <w:r w:rsidR="00B335E0" w:rsidRPr="00122AA1">
        <w:rPr>
          <w:rFonts w:ascii="Arial" w:hAnsi="Arial" w:cs="Arial"/>
        </w:rPr>
        <w:t xml:space="preserve"> to </w:t>
      </w:r>
      <w:r w:rsidR="00666B60" w:rsidRPr="00122AA1">
        <w:rPr>
          <w:rFonts w:ascii="Arial" w:hAnsi="Arial" w:cs="Arial"/>
        </w:rPr>
        <w:t>reveal their true identities</w:t>
      </w:r>
      <w:r w:rsidR="00101F54" w:rsidRPr="00122AA1">
        <w:rPr>
          <w:rFonts w:ascii="Arial" w:hAnsi="Arial" w:cs="Arial"/>
        </w:rPr>
        <w:t xml:space="preserve">. This gave rise </w:t>
      </w:r>
      <w:r w:rsidR="00666B60" w:rsidRPr="00122AA1">
        <w:rPr>
          <w:rFonts w:ascii="Arial" w:hAnsi="Arial" w:cs="Arial"/>
        </w:rPr>
        <w:t>to th</w:t>
      </w:r>
      <w:r w:rsidR="00DA6CB7" w:rsidRPr="00122AA1">
        <w:rPr>
          <w:rFonts w:ascii="Arial" w:hAnsi="Arial" w:cs="Arial"/>
        </w:rPr>
        <w:t>e popular saying</w:t>
      </w:r>
      <w:r w:rsidR="00101F54" w:rsidRPr="00122AA1">
        <w:rPr>
          <w:rFonts w:ascii="Arial" w:hAnsi="Arial" w:cs="Arial"/>
        </w:rPr>
        <w:t>:</w:t>
      </w:r>
      <w:r w:rsidR="008901CB" w:rsidRPr="00122AA1">
        <w:rPr>
          <w:rFonts w:ascii="Arial" w:hAnsi="Arial" w:cs="Arial"/>
        </w:rPr>
        <w:t xml:space="preserve"> </w:t>
      </w:r>
      <w:r w:rsidR="00DA6CB7" w:rsidRPr="00122AA1">
        <w:rPr>
          <w:rFonts w:ascii="Arial" w:hAnsi="Arial" w:cs="Arial"/>
        </w:rPr>
        <w:t>‘On the i</w:t>
      </w:r>
      <w:r w:rsidR="00666B60" w:rsidRPr="00122AA1">
        <w:rPr>
          <w:rFonts w:ascii="Arial" w:hAnsi="Arial" w:cs="Arial"/>
        </w:rPr>
        <w:t>nternet, nobody knows you’re a dog</w:t>
      </w:r>
      <w:r w:rsidR="00101F54" w:rsidRPr="00122AA1">
        <w:rPr>
          <w:rFonts w:ascii="Arial" w:hAnsi="Arial" w:cs="Arial"/>
        </w:rPr>
        <w:t>’</w:t>
      </w:r>
      <w:r w:rsidR="00666B60" w:rsidRPr="00122AA1">
        <w:rPr>
          <w:rFonts w:ascii="Arial" w:hAnsi="Arial" w:cs="Arial"/>
        </w:rPr>
        <w:t>.</w:t>
      </w:r>
      <w:r w:rsidR="00DA6CB7" w:rsidRPr="00122AA1">
        <w:rPr>
          <w:rFonts w:ascii="Arial" w:hAnsi="Arial" w:cs="Arial"/>
        </w:rPr>
        <w:t xml:space="preserve"> </w:t>
      </w:r>
      <w:r w:rsidR="006942F4" w:rsidRPr="00122AA1">
        <w:rPr>
          <w:rFonts w:ascii="Arial" w:hAnsi="Arial" w:cs="Arial"/>
        </w:rPr>
        <w:t>T</w:t>
      </w:r>
      <w:r w:rsidR="00043733" w:rsidRPr="00122AA1">
        <w:rPr>
          <w:rFonts w:ascii="Arial" w:hAnsi="Arial" w:cs="Arial"/>
        </w:rPr>
        <w:t>he ability to engage online anonymously or pseudonymously has remained a cornerstone of the internet</w:t>
      </w:r>
      <w:r w:rsidR="00DA6CB7" w:rsidRPr="00122AA1">
        <w:rPr>
          <w:rFonts w:ascii="Arial" w:hAnsi="Arial" w:cs="Arial"/>
        </w:rPr>
        <w:t>.</w:t>
      </w:r>
      <w:r w:rsidR="008901CB" w:rsidRPr="00122AA1">
        <w:rPr>
          <w:rFonts w:ascii="Arial" w:hAnsi="Arial" w:cs="Arial"/>
        </w:rPr>
        <w:t xml:space="preserve"> </w:t>
      </w:r>
      <w:r w:rsidRPr="00122AA1">
        <w:rPr>
          <w:rFonts w:ascii="Arial" w:hAnsi="Arial" w:cs="Arial"/>
        </w:rPr>
        <w:t>Citizens and consumers are now establishing digital identities comprised of the credentials they use to identify themselves to service providers and m</w:t>
      </w:r>
      <w:r w:rsidR="008901CB" w:rsidRPr="00122AA1">
        <w:rPr>
          <w:rFonts w:ascii="Arial" w:hAnsi="Arial" w:cs="Arial"/>
        </w:rPr>
        <w:t xml:space="preserve">ay maintain several digital identities, each </w:t>
      </w:r>
      <w:r w:rsidRPr="00122AA1">
        <w:rPr>
          <w:rFonts w:ascii="Arial" w:hAnsi="Arial" w:cs="Arial"/>
        </w:rPr>
        <w:t>t</w:t>
      </w:r>
      <w:r w:rsidR="008901CB" w:rsidRPr="00122AA1">
        <w:rPr>
          <w:rFonts w:ascii="Arial" w:hAnsi="Arial" w:cs="Arial"/>
        </w:rPr>
        <w:t>o</w:t>
      </w:r>
      <w:r w:rsidRPr="00122AA1">
        <w:rPr>
          <w:rFonts w:ascii="Arial" w:hAnsi="Arial" w:cs="Arial"/>
        </w:rPr>
        <w:t xml:space="preserve"> be used in specific transactional, professional or social contexts.</w:t>
      </w:r>
    </w:p>
    <w:p w:rsidR="00C051CE" w:rsidRPr="00122AA1" w:rsidRDefault="00C051CE" w:rsidP="00702075">
      <w:pPr>
        <w:rPr>
          <w:rFonts w:ascii="Arial" w:hAnsi="Arial" w:cs="Arial"/>
        </w:rPr>
      </w:pPr>
    </w:p>
    <w:p w:rsidR="00D73529" w:rsidRPr="00122AA1" w:rsidRDefault="00656266" w:rsidP="005A6D1B">
      <w:pPr>
        <w:rPr>
          <w:rFonts w:ascii="Arial" w:hAnsi="Arial" w:cs="Arial"/>
        </w:rPr>
      </w:pPr>
      <w:bookmarkStart w:id="1" w:name="personal_information"/>
      <w:bookmarkEnd w:id="1"/>
      <w:r w:rsidRPr="00122AA1">
        <w:rPr>
          <w:rFonts w:ascii="Arial" w:hAnsi="Arial" w:cs="Arial"/>
        </w:rPr>
        <w:t xml:space="preserve">Communications data and </w:t>
      </w:r>
      <w:r w:rsidR="00B025D7" w:rsidRPr="00122AA1">
        <w:rPr>
          <w:rFonts w:ascii="Arial" w:hAnsi="Arial" w:cs="Arial"/>
        </w:rPr>
        <w:t xml:space="preserve">privacy-related safeguards </w:t>
      </w:r>
      <w:r w:rsidR="00835AAA" w:rsidRPr="00122AA1">
        <w:rPr>
          <w:rFonts w:ascii="Arial" w:hAnsi="Arial" w:cs="Arial"/>
        </w:rPr>
        <w:t xml:space="preserve">designed to protect personal information </w:t>
      </w:r>
      <w:r w:rsidR="00B025D7" w:rsidRPr="00122AA1">
        <w:rPr>
          <w:rFonts w:ascii="Arial" w:hAnsi="Arial" w:cs="Arial"/>
        </w:rPr>
        <w:t>have been delivered via a mix of national and sector-specific measures</w:t>
      </w:r>
      <w:r w:rsidR="00DA6CB7" w:rsidRPr="00122AA1">
        <w:rPr>
          <w:rFonts w:ascii="Arial" w:hAnsi="Arial" w:cs="Arial"/>
        </w:rPr>
        <w:t xml:space="preserve">. </w:t>
      </w:r>
      <w:r w:rsidR="00835AAA" w:rsidRPr="00122AA1">
        <w:rPr>
          <w:rFonts w:ascii="Arial" w:hAnsi="Arial" w:cs="Arial"/>
        </w:rPr>
        <w:t>V</w:t>
      </w:r>
      <w:r w:rsidRPr="00122AA1">
        <w:rPr>
          <w:rFonts w:ascii="Arial" w:hAnsi="Arial" w:cs="Arial"/>
        </w:rPr>
        <w:t>arying protections, obligations and information disclosure requirements</w:t>
      </w:r>
      <w:r w:rsidR="00893FF0" w:rsidRPr="00122AA1">
        <w:rPr>
          <w:rFonts w:ascii="Arial" w:hAnsi="Arial" w:cs="Arial"/>
        </w:rPr>
        <w:t xml:space="preserve"> and responsibilities </w:t>
      </w:r>
      <w:r w:rsidR="00835AAA" w:rsidRPr="00122AA1">
        <w:rPr>
          <w:rFonts w:ascii="Arial" w:hAnsi="Arial" w:cs="Arial"/>
        </w:rPr>
        <w:t xml:space="preserve">are </w:t>
      </w:r>
      <w:r w:rsidR="00893FF0" w:rsidRPr="00122AA1">
        <w:rPr>
          <w:rFonts w:ascii="Arial" w:hAnsi="Arial" w:cs="Arial"/>
        </w:rPr>
        <w:t xml:space="preserve">shared among a range of Commonwealth and </w:t>
      </w:r>
      <w:r w:rsidR="00101F54" w:rsidRPr="00122AA1">
        <w:rPr>
          <w:rFonts w:ascii="Arial" w:hAnsi="Arial" w:cs="Arial"/>
        </w:rPr>
        <w:t>s</w:t>
      </w:r>
      <w:r w:rsidR="00893FF0" w:rsidRPr="00122AA1">
        <w:rPr>
          <w:rFonts w:ascii="Arial" w:hAnsi="Arial" w:cs="Arial"/>
        </w:rPr>
        <w:t xml:space="preserve">tate regulatory bodies, including the ACMA’s role </w:t>
      </w:r>
      <w:r w:rsidR="00101F54" w:rsidRPr="00122AA1">
        <w:rPr>
          <w:rFonts w:ascii="Arial" w:hAnsi="Arial" w:cs="Arial"/>
        </w:rPr>
        <w:t>in</w:t>
      </w:r>
      <w:r w:rsidR="00893FF0" w:rsidRPr="00122AA1">
        <w:rPr>
          <w:rFonts w:ascii="Arial" w:hAnsi="Arial" w:cs="Arial"/>
        </w:rPr>
        <w:t xml:space="preserve"> communications and media privacy regulation</w:t>
      </w:r>
      <w:r w:rsidR="00DA6CB7" w:rsidRPr="00122AA1">
        <w:rPr>
          <w:rFonts w:ascii="Arial" w:hAnsi="Arial" w:cs="Arial"/>
        </w:rPr>
        <w:t xml:space="preserve">. </w:t>
      </w:r>
      <w:r w:rsidR="00D31AD0" w:rsidRPr="00122AA1">
        <w:rPr>
          <w:rFonts w:ascii="Arial" w:hAnsi="Arial" w:cs="Arial"/>
        </w:rPr>
        <w:br/>
      </w:r>
      <w:r w:rsidR="00D73529" w:rsidRPr="00122AA1">
        <w:rPr>
          <w:rFonts w:ascii="Arial" w:hAnsi="Arial" w:cs="Arial"/>
        </w:rPr>
        <w:t>At the federal level</w:t>
      </w:r>
      <w:r w:rsidR="00D31AD0" w:rsidRPr="00122AA1">
        <w:rPr>
          <w:rFonts w:ascii="Arial" w:hAnsi="Arial" w:cs="Arial"/>
        </w:rPr>
        <w:t>,</w:t>
      </w:r>
      <w:r w:rsidR="00D73529" w:rsidRPr="00122AA1">
        <w:rPr>
          <w:rFonts w:ascii="Arial" w:hAnsi="Arial" w:cs="Arial"/>
        </w:rPr>
        <w:t xml:space="preserve"> other agencies with interests in privacy and personal data include the Office of the Australian Information Commissioner (OIAC), Department of Broadband, Communications and the Digital Economy (DBCDE), Attorney-General’s Department (AGD), Australian Competition and Consumer Commission (ACCC), Australian Securities and Investments Commission (ASIC), Department of Health and Ageing (DHA), National E-Health Transition Authority (NEHTA), Australia Post and the Australian Press Council. Each state also has its own counterpart agencies dealing with privacy-related matters.</w:t>
      </w:r>
    </w:p>
    <w:p w:rsidR="00D73529" w:rsidRPr="00122AA1" w:rsidRDefault="00D73529" w:rsidP="005A6D1B">
      <w:pPr>
        <w:rPr>
          <w:rFonts w:ascii="Arial" w:hAnsi="Arial" w:cs="Arial"/>
        </w:rPr>
      </w:pPr>
    </w:p>
    <w:p w:rsidR="00DA6CB7" w:rsidRPr="00122AA1" w:rsidRDefault="00EA0914" w:rsidP="005A6D1B">
      <w:pPr>
        <w:rPr>
          <w:rFonts w:ascii="Arial" w:hAnsi="Arial" w:cs="Arial"/>
        </w:rPr>
      </w:pPr>
      <w:r w:rsidRPr="00122AA1">
        <w:rPr>
          <w:rFonts w:ascii="Arial" w:hAnsi="Arial" w:cs="Arial"/>
        </w:rPr>
        <w:t xml:space="preserve">The establishment of these </w:t>
      </w:r>
      <w:r w:rsidR="00B14269" w:rsidRPr="00122AA1">
        <w:rPr>
          <w:rFonts w:ascii="Arial" w:hAnsi="Arial" w:cs="Arial"/>
        </w:rPr>
        <w:t xml:space="preserve">measures </w:t>
      </w:r>
      <w:r w:rsidRPr="00122AA1">
        <w:rPr>
          <w:rFonts w:ascii="Arial" w:hAnsi="Arial" w:cs="Arial"/>
        </w:rPr>
        <w:t xml:space="preserve">predates the arrival of the digital services that now </w:t>
      </w:r>
      <w:r w:rsidR="00B14269" w:rsidRPr="00122AA1">
        <w:rPr>
          <w:rFonts w:ascii="Arial" w:hAnsi="Arial" w:cs="Arial"/>
        </w:rPr>
        <w:t>underpin many</w:t>
      </w:r>
      <w:r w:rsidR="00B14269" w:rsidRPr="00122AA1" w:rsidDel="00B14269">
        <w:rPr>
          <w:rFonts w:ascii="Arial" w:hAnsi="Arial" w:cs="Arial"/>
        </w:rPr>
        <w:t xml:space="preserve"> </w:t>
      </w:r>
      <w:r w:rsidRPr="00122AA1">
        <w:rPr>
          <w:rFonts w:ascii="Arial" w:hAnsi="Arial" w:cs="Arial"/>
        </w:rPr>
        <w:t>citizens’ social and economic interactions</w:t>
      </w:r>
      <w:r w:rsidR="006F4E60" w:rsidRPr="00122AA1">
        <w:rPr>
          <w:rFonts w:ascii="Arial" w:hAnsi="Arial" w:cs="Arial"/>
        </w:rPr>
        <w:t xml:space="preserve">. </w:t>
      </w:r>
      <w:r w:rsidR="00D73529" w:rsidRPr="00122AA1">
        <w:rPr>
          <w:rFonts w:ascii="Arial" w:hAnsi="Arial" w:cs="Arial"/>
        </w:rPr>
        <w:t xml:space="preserve">The </w:t>
      </w:r>
      <w:r w:rsidR="00A202EA" w:rsidRPr="00122AA1">
        <w:rPr>
          <w:rFonts w:ascii="Arial" w:hAnsi="Arial" w:cs="Arial"/>
          <w:i/>
        </w:rPr>
        <w:t>Privacy Act 1988</w:t>
      </w:r>
      <w:r w:rsidR="003E7BBC" w:rsidRPr="00122AA1">
        <w:rPr>
          <w:rFonts w:ascii="Arial" w:hAnsi="Arial" w:cs="Arial"/>
          <w:i/>
        </w:rPr>
        <w:t xml:space="preserve"> </w:t>
      </w:r>
      <w:r w:rsidR="003E7BBC" w:rsidRPr="00122AA1">
        <w:rPr>
          <w:rFonts w:ascii="Arial" w:hAnsi="Arial" w:cs="Arial"/>
        </w:rPr>
        <w:t>(Privacy Act)</w:t>
      </w:r>
      <w:r w:rsidR="00A202EA" w:rsidRPr="00122AA1">
        <w:rPr>
          <w:rFonts w:ascii="Arial" w:hAnsi="Arial" w:cs="Arial"/>
          <w:i/>
        </w:rPr>
        <w:t xml:space="preserve"> </w:t>
      </w:r>
      <w:r w:rsidR="00D73529" w:rsidRPr="00122AA1">
        <w:rPr>
          <w:rFonts w:ascii="Arial" w:hAnsi="Arial" w:cs="Arial"/>
        </w:rPr>
        <w:t>has been the subject of a recent review by the Australian Law Reform Commission</w:t>
      </w:r>
      <w:r w:rsidR="003E7BBC" w:rsidRPr="00122AA1">
        <w:rPr>
          <w:rFonts w:ascii="Arial" w:hAnsi="Arial" w:cs="Arial"/>
        </w:rPr>
        <w:t xml:space="preserve"> </w:t>
      </w:r>
      <w:r w:rsidR="00161A53" w:rsidRPr="00122AA1">
        <w:rPr>
          <w:rFonts w:ascii="Arial" w:hAnsi="Arial" w:cs="Arial"/>
        </w:rPr>
        <w:t xml:space="preserve">(ALRC) </w:t>
      </w:r>
      <w:r w:rsidR="003E7BBC" w:rsidRPr="00122AA1">
        <w:rPr>
          <w:rFonts w:ascii="Arial" w:hAnsi="Arial" w:cs="Arial"/>
        </w:rPr>
        <w:t>and a number of useful reforms are due to take</w:t>
      </w:r>
      <w:r w:rsidR="00386AF7" w:rsidRPr="00122AA1">
        <w:rPr>
          <w:rFonts w:ascii="Arial" w:hAnsi="Arial" w:cs="Arial"/>
        </w:rPr>
        <w:t xml:space="preserve"> effect</w:t>
      </w:r>
      <w:r w:rsidR="003E7BBC" w:rsidRPr="00122AA1">
        <w:rPr>
          <w:rFonts w:ascii="Arial" w:hAnsi="Arial" w:cs="Arial"/>
        </w:rPr>
        <w:t xml:space="preserve"> from March 2014. The Attorney-General has recently announced that th</w:t>
      </w:r>
      <w:r w:rsidR="00161A53" w:rsidRPr="00122AA1">
        <w:rPr>
          <w:rFonts w:ascii="Arial" w:hAnsi="Arial" w:cs="Arial"/>
        </w:rPr>
        <w:t>e ALRC</w:t>
      </w:r>
      <w:r w:rsidR="003E7BBC" w:rsidRPr="00122AA1">
        <w:rPr>
          <w:rFonts w:ascii="Arial" w:hAnsi="Arial" w:cs="Arial"/>
        </w:rPr>
        <w:t xml:space="preserve"> will undertake a further review of privacy safeguards. </w:t>
      </w:r>
    </w:p>
    <w:p w:rsidR="00BF5702" w:rsidRPr="00122AA1" w:rsidRDefault="00BF5702" w:rsidP="005A6D1B">
      <w:pPr>
        <w:rPr>
          <w:rFonts w:ascii="Arial" w:hAnsi="Arial" w:cs="Arial"/>
        </w:rPr>
      </w:pPr>
    </w:p>
    <w:p w:rsidR="00893FF0" w:rsidRPr="00122AA1" w:rsidRDefault="00E74B11" w:rsidP="005A6D1B">
      <w:pPr>
        <w:rPr>
          <w:rFonts w:ascii="Arial" w:eastAsiaTheme="minorHAnsi" w:hAnsi="Arial" w:cs="Arial"/>
          <w:szCs w:val="20"/>
          <w:lang w:eastAsia="en-US"/>
        </w:rPr>
      </w:pPr>
      <w:r w:rsidRPr="00122AA1">
        <w:rPr>
          <w:rFonts w:ascii="Arial" w:hAnsi="Arial" w:cs="Arial"/>
        </w:rPr>
        <w:t xml:space="preserve">This </w:t>
      </w:r>
      <w:r w:rsidR="00893FF0" w:rsidRPr="00122AA1">
        <w:rPr>
          <w:rFonts w:ascii="Arial" w:hAnsi="Arial" w:cs="Arial"/>
        </w:rPr>
        <w:t xml:space="preserve">paper is the </w:t>
      </w:r>
      <w:r w:rsidRPr="00122AA1">
        <w:rPr>
          <w:rFonts w:ascii="Arial" w:hAnsi="Arial" w:cs="Arial"/>
        </w:rPr>
        <w:t xml:space="preserve">fourth </w:t>
      </w:r>
      <w:r w:rsidR="00893FF0" w:rsidRPr="00122AA1">
        <w:rPr>
          <w:rFonts w:ascii="Arial" w:hAnsi="Arial" w:cs="Arial"/>
        </w:rPr>
        <w:t xml:space="preserve">in a series of </w:t>
      </w:r>
      <w:r w:rsidRPr="00122AA1">
        <w:rPr>
          <w:rFonts w:ascii="Arial" w:hAnsi="Arial" w:cs="Arial"/>
        </w:rPr>
        <w:t>occasional paper</w:t>
      </w:r>
      <w:r w:rsidR="00893FF0" w:rsidRPr="00122AA1">
        <w:rPr>
          <w:rFonts w:ascii="Arial" w:hAnsi="Arial" w:cs="Arial"/>
        </w:rPr>
        <w:t xml:space="preserve">s examining </w:t>
      </w:r>
      <w:r w:rsidRPr="00122AA1">
        <w:rPr>
          <w:rFonts w:ascii="Arial" w:hAnsi="Arial" w:cs="Arial"/>
        </w:rPr>
        <w:t xml:space="preserve">emerging </w:t>
      </w:r>
      <w:r w:rsidR="00893FF0" w:rsidRPr="00122AA1">
        <w:rPr>
          <w:rFonts w:ascii="Arial" w:hAnsi="Arial" w:cs="Arial"/>
        </w:rPr>
        <w:t xml:space="preserve">issues in contemporary </w:t>
      </w:r>
      <w:r w:rsidRPr="00122AA1">
        <w:rPr>
          <w:rFonts w:ascii="Arial" w:hAnsi="Arial" w:cs="Arial"/>
        </w:rPr>
        <w:t>media and communications</w:t>
      </w:r>
      <w:r w:rsidR="00893FF0" w:rsidRPr="00122AA1">
        <w:rPr>
          <w:rFonts w:ascii="Arial" w:hAnsi="Arial" w:cs="Arial"/>
        </w:rPr>
        <w:t xml:space="preserve">. Previous papers examined the </w:t>
      </w:r>
      <w:r w:rsidR="00101F54" w:rsidRPr="00122AA1">
        <w:rPr>
          <w:rFonts w:ascii="Arial" w:hAnsi="Arial" w:cs="Arial"/>
        </w:rPr>
        <w:t xml:space="preserve">mobile </w:t>
      </w:r>
      <w:r w:rsidR="00893FF0" w:rsidRPr="00122AA1">
        <w:rPr>
          <w:rFonts w:ascii="Arial" w:hAnsi="Arial" w:cs="Arial"/>
        </w:rPr>
        <w:t xml:space="preserve">apps </w:t>
      </w:r>
      <w:r w:rsidR="00EA0914" w:rsidRPr="00122AA1">
        <w:rPr>
          <w:rFonts w:ascii="Arial" w:eastAsiaTheme="minorHAnsi" w:hAnsi="Arial" w:cs="Arial"/>
          <w:szCs w:val="20"/>
          <w:lang w:eastAsia="en-US"/>
        </w:rPr>
        <w:t>market, near-field communications and cloud computing.</w:t>
      </w:r>
    </w:p>
    <w:p w:rsidR="00EA2CDF" w:rsidRPr="00122AA1" w:rsidRDefault="00EA2CDF" w:rsidP="00EA2CDF">
      <w:pPr>
        <w:rPr>
          <w:rFonts w:ascii="Arial" w:hAnsi="Arial" w:cs="Arial"/>
        </w:rPr>
      </w:pPr>
    </w:p>
    <w:p w:rsidR="00EA2CDF" w:rsidRPr="00122AA1" w:rsidRDefault="009B3E04" w:rsidP="000A48C5">
      <w:pPr>
        <w:spacing w:after="80"/>
        <w:rPr>
          <w:rFonts w:ascii="Arial" w:hAnsi="Arial" w:cs="Arial"/>
        </w:rPr>
      </w:pPr>
      <w:r w:rsidRPr="00122AA1">
        <w:rPr>
          <w:rFonts w:ascii="Arial" w:hAnsi="Arial" w:cs="Arial"/>
        </w:rPr>
        <w:t xml:space="preserve">While some digital data is aggregated and anonymised, the capacity for data to be traded and combined means that citizens will not be aware of where their data is going, and what it might be used for at the time of collection. These practices challenge the ongoing viability of traditional data collection processes based on obtaining a citizen’s informed consent. </w:t>
      </w:r>
      <w:r w:rsidR="00EA2CDF" w:rsidRPr="00122AA1">
        <w:rPr>
          <w:rFonts w:ascii="Arial" w:hAnsi="Arial" w:cs="Arial"/>
        </w:rPr>
        <w:t>This paper covers</w:t>
      </w:r>
      <w:r w:rsidR="00101F54" w:rsidRPr="00122AA1">
        <w:rPr>
          <w:rFonts w:ascii="Arial" w:hAnsi="Arial" w:cs="Arial"/>
        </w:rPr>
        <w:t>:</w:t>
      </w:r>
    </w:p>
    <w:p w:rsidR="003D26F5" w:rsidRPr="00122AA1" w:rsidRDefault="003A4F96" w:rsidP="000A48C5">
      <w:pPr>
        <w:pStyle w:val="ListBullet"/>
        <w:rPr>
          <w:rFonts w:ascii="Arial" w:hAnsi="Arial" w:cs="Arial"/>
        </w:rPr>
      </w:pPr>
      <w:r w:rsidRPr="00122AA1">
        <w:rPr>
          <w:rFonts w:ascii="Arial" w:hAnsi="Arial" w:cs="Arial"/>
        </w:rPr>
        <w:t xml:space="preserve">developments in </w:t>
      </w:r>
      <w:r w:rsidR="00893FF0" w:rsidRPr="00122AA1">
        <w:rPr>
          <w:rFonts w:ascii="Arial" w:hAnsi="Arial" w:cs="Arial"/>
        </w:rPr>
        <w:t>network and device capabilities, data analytics, the apps and service environment</w:t>
      </w:r>
      <w:r w:rsidRPr="00122AA1">
        <w:rPr>
          <w:rFonts w:ascii="Arial" w:hAnsi="Arial" w:cs="Arial"/>
        </w:rPr>
        <w:t xml:space="preserve"> that </w:t>
      </w:r>
      <w:r w:rsidR="00101F54" w:rsidRPr="00122AA1">
        <w:rPr>
          <w:rFonts w:ascii="Arial" w:hAnsi="Arial" w:cs="Arial"/>
        </w:rPr>
        <w:t xml:space="preserve">are </w:t>
      </w:r>
      <w:r w:rsidRPr="00122AA1">
        <w:rPr>
          <w:rFonts w:ascii="Arial" w:hAnsi="Arial" w:cs="Arial"/>
        </w:rPr>
        <w:t xml:space="preserve">transforming the nature of </w:t>
      </w:r>
      <w:r w:rsidR="003D26F5" w:rsidRPr="00122AA1">
        <w:rPr>
          <w:rFonts w:ascii="Arial" w:hAnsi="Arial" w:cs="Arial"/>
        </w:rPr>
        <w:t>personal and private communications</w:t>
      </w:r>
      <w:r w:rsidRPr="00122AA1">
        <w:rPr>
          <w:rFonts w:ascii="Arial" w:hAnsi="Arial" w:cs="Arial"/>
        </w:rPr>
        <w:t xml:space="preserve"> in a networked society and information economy</w:t>
      </w:r>
    </w:p>
    <w:p w:rsidR="00EA2CDF" w:rsidRPr="00122AA1" w:rsidRDefault="003D26F5" w:rsidP="00EA2CDF">
      <w:pPr>
        <w:pStyle w:val="ListBullet"/>
        <w:rPr>
          <w:rFonts w:ascii="Arial" w:hAnsi="Arial" w:cs="Arial"/>
        </w:rPr>
      </w:pPr>
      <w:r w:rsidRPr="00122AA1">
        <w:rPr>
          <w:rFonts w:ascii="Arial" w:hAnsi="Arial" w:cs="Arial"/>
        </w:rPr>
        <w:t xml:space="preserve">consumer and citizen concerns in dealing with </w:t>
      </w:r>
      <w:r w:rsidR="00893FF0" w:rsidRPr="00122AA1">
        <w:rPr>
          <w:rFonts w:ascii="Arial" w:hAnsi="Arial" w:cs="Arial"/>
        </w:rPr>
        <w:t>digital data creation and use</w:t>
      </w:r>
    </w:p>
    <w:p w:rsidR="00331B28" w:rsidRPr="00122AA1" w:rsidRDefault="003A4F96" w:rsidP="00331B28">
      <w:pPr>
        <w:pStyle w:val="ListBullet"/>
        <w:rPr>
          <w:rFonts w:ascii="Arial" w:hAnsi="Arial" w:cs="Arial"/>
        </w:rPr>
      </w:pPr>
      <w:r w:rsidRPr="00122AA1">
        <w:rPr>
          <w:rFonts w:ascii="Arial" w:hAnsi="Arial" w:cs="Arial"/>
        </w:rPr>
        <w:t xml:space="preserve">the </w:t>
      </w:r>
      <w:r w:rsidR="003D26F5" w:rsidRPr="00122AA1">
        <w:rPr>
          <w:rFonts w:ascii="Arial" w:hAnsi="Arial" w:cs="Arial"/>
        </w:rPr>
        <w:t xml:space="preserve">integration of </w:t>
      </w:r>
      <w:r w:rsidR="00331B28" w:rsidRPr="00122AA1">
        <w:rPr>
          <w:rFonts w:ascii="Arial" w:hAnsi="Arial" w:cs="Arial"/>
        </w:rPr>
        <w:t>digital data in</w:t>
      </w:r>
      <w:r w:rsidR="00101F54" w:rsidRPr="00122AA1">
        <w:rPr>
          <w:rFonts w:ascii="Arial" w:hAnsi="Arial" w:cs="Arial"/>
        </w:rPr>
        <w:t>to</w:t>
      </w:r>
      <w:r w:rsidR="00331B28" w:rsidRPr="00122AA1">
        <w:rPr>
          <w:rFonts w:ascii="Arial" w:hAnsi="Arial" w:cs="Arial"/>
        </w:rPr>
        <w:t xml:space="preserve"> social and economic transactions and the implications for existing communications privacy protections and obligations</w:t>
      </w:r>
    </w:p>
    <w:p w:rsidR="00EA2CDF" w:rsidRPr="00122AA1" w:rsidRDefault="003A4F96" w:rsidP="000A48C5">
      <w:pPr>
        <w:pStyle w:val="ListBullet"/>
        <w:spacing w:after="240"/>
        <w:rPr>
          <w:rFonts w:ascii="Arial" w:hAnsi="Arial" w:cs="Arial"/>
        </w:rPr>
      </w:pPr>
      <w:r w:rsidRPr="00122AA1">
        <w:rPr>
          <w:rFonts w:ascii="Arial" w:hAnsi="Arial" w:cs="Arial"/>
        </w:rPr>
        <w:t>s</w:t>
      </w:r>
      <w:r w:rsidR="00EA2CDF" w:rsidRPr="00122AA1">
        <w:rPr>
          <w:rFonts w:ascii="Arial" w:hAnsi="Arial" w:cs="Arial"/>
        </w:rPr>
        <w:t xml:space="preserve">trategies and tools to </w:t>
      </w:r>
      <w:r w:rsidR="008D23EA" w:rsidRPr="00122AA1">
        <w:rPr>
          <w:rFonts w:ascii="Arial" w:hAnsi="Arial" w:cs="Arial"/>
        </w:rPr>
        <w:t xml:space="preserve">address emerging </w:t>
      </w:r>
      <w:r w:rsidR="00EA2CDF" w:rsidRPr="00122AA1">
        <w:rPr>
          <w:rFonts w:ascii="Arial" w:hAnsi="Arial" w:cs="Arial"/>
        </w:rPr>
        <w:t xml:space="preserve">privacy and personal data </w:t>
      </w:r>
      <w:r w:rsidR="00331B28" w:rsidRPr="00122AA1">
        <w:rPr>
          <w:rFonts w:ascii="Arial" w:hAnsi="Arial" w:cs="Arial"/>
        </w:rPr>
        <w:t>concerns</w:t>
      </w:r>
      <w:r w:rsidR="008D23EA" w:rsidRPr="00122AA1">
        <w:rPr>
          <w:rFonts w:ascii="Arial" w:hAnsi="Arial" w:cs="Arial"/>
        </w:rPr>
        <w:t xml:space="preserve"> in a</w:t>
      </w:r>
      <w:r w:rsidR="00331B28" w:rsidRPr="00122AA1">
        <w:rPr>
          <w:rFonts w:ascii="Arial" w:hAnsi="Arial" w:cs="Arial"/>
        </w:rPr>
        <w:t xml:space="preserve"> networked society and </w:t>
      </w:r>
      <w:r w:rsidR="00EA2CDF" w:rsidRPr="00122AA1">
        <w:rPr>
          <w:rFonts w:ascii="Arial" w:hAnsi="Arial" w:cs="Arial"/>
        </w:rPr>
        <w:t>information economy.</w:t>
      </w:r>
    </w:p>
    <w:p w:rsidR="00EA2CDF" w:rsidRPr="00122AA1" w:rsidRDefault="00EA2CDF" w:rsidP="00B041E7">
      <w:pPr>
        <w:pStyle w:val="ListBullet"/>
        <w:keepNext/>
        <w:numPr>
          <w:ilvl w:val="0"/>
          <w:numId w:val="0"/>
        </w:numPr>
        <w:ind w:hanging="11"/>
        <w:rPr>
          <w:rFonts w:ascii="Arial" w:hAnsi="Arial" w:cs="Arial"/>
        </w:rPr>
      </w:pPr>
      <w:r w:rsidRPr="00122AA1">
        <w:rPr>
          <w:rFonts w:ascii="Arial" w:hAnsi="Arial" w:cs="Arial"/>
        </w:rPr>
        <w:t>The ACMA would welcome further discussion from interested parties on the following questions:</w:t>
      </w:r>
    </w:p>
    <w:p w:rsidR="00331B4E" w:rsidRPr="00122AA1" w:rsidRDefault="009C41CD" w:rsidP="00B041E7">
      <w:pPr>
        <w:pStyle w:val="ListParagraph"/>
        <w:numPr>
          <w:ilvl w:val="0"/>
          <w:numId w:val="23"/>
        </w:numPr>
        <w:spacing w:after="80" w:line="240" w:lineRule="atLeast"/>
        <w:ind w:left="357" w:hanging="357"/>
        <w:rPr>
          <w:rFonts w:ascii="Arial" w:hAnsi="Arial" w:cs="Arial"/>
          <w:szCs w:val="20"/>
        </w:rPr>
      </w:pPr>
      <w:r w:rsidRPr="00122AA1">
        <w:rPr>
          <w:rFonts w:ascii="Arial" w:hAnsi="Arial" w:cs="Arial"/>
          <w:sz w:val="20"/>
          <w:szCs w:val="20"/>
        </w:rPr>
        <w:t xml:space="preserve">Which privacy and personal data issues </w:t>
      </w:r>
      <w:r w:rsidR="00BC242E" w:rsidRPr="00122AA1">
        <w:rPr>
          <w:rFonts w:ascii="Arial" w:hAnsi="Arial" w:cs="Arial"/>
          <w:sz w:val="20"/>
          <w:szCs w:val="20"/>
        </w:rPr>
        <w:t xml:space="preserve">are </w:t>
      </w:r>
      <w:r w:rsidR="006F4E60" w:rsidRPr="00122AA1">
        <w:rPr>
          <w:rFonts w:ascii="Arial" w:hAnsi="Arial" w:cs="Arial"/>
          <w:sz w:val="20"/>
          <w:szCs w:val="20"/>
        </w:rPr>
        <w:t>of most</w:t>
      </w:r>
      <w:r w:rsidR="00EA0914" w:rsidRPr="00122AA1">
        <w:rPr>
          <w:rFonts w:ascii="Arial" w:hAnsi="Arial" w:cs="Arial"/>
          <w:sz w:val="20"/>
          <w:szCs w:val="20"/>
        </w:rPr>
        <w:t xml:space="preserve"> concern </w:t>
      </w:r>
      <w:r w:rsidR="008901CB" w:rsidRPr="00122AA1">
        <w:rPr>
          <w:rFonts w:ascii="Arial" w:hAnsi="Arial" w:cs="Arial"/>
          <w:sz w:val="20"/>
          <w:szCs w:val="20"/>
        </w:rPr>
        <w:t>to</w:t>
      </w:r>
      <w:r w:rsidR="00EA0914" w:rsidRPr="00122AA1">
        <w:rPr>
          <w:rFonts w:ascii="Arial" w:hAnsi="Arial" w:cs="Arial"/>
          <w:sz w:val="20"/>
          <w:szCs w:val="20"/>
        </w:rPr>
        <w:t xml:space="preserve"> citizens?</w:t>
      </w:r>
      <w:r w:rsidR="00BC242E" w:rsidRPr="00122AA1">
        <w:rPr>
          <w:rFonts w:ascii="Arial" w:hAnsi="Arial" w:cs="Arial"/>
          <w:sz w:val="20"/>
          <w:szCs w:val="20"/>
        </w:rPr>
        <w:t xml:space="preserve"> </w:t>
      </w:r>
    </w:p>
    <w:p w:rsidR="00A02CF1" w:rsidRPr="00122AA1" w:rsidRDefault="004822D0" w:rsidP="00B041E7">
      <w:pPr>
        <w:pStyle w:val="ListNumber2"/>
        <w:numPr>
          <w:ilvl w:val="0"/>
          <w:numId w:val="23"/>
        </w:numPr>
        <w:ind w:left="357" w:hanging="357"/>
        <w:rPr>
          <w:rFonts w:ascii="Arial" w:hAnsi="Arial" w:cs="Arial"/>
        </w:rPr>
      </w:pPr>
      <w:r w:rsidRPr="00122AA1">
        <w:rPr>
          <w:rFonts w:ascii="Arial" w:hAnsi="Arial" w:cs="Arial"/>
        </w:rPr>
        <w:t>What tools, skills, knowledge and behaviour would equip citizens to better manage their own personal data?</w:t>
      </w:r>
    </w:p>
    <w:p w:rsidR="00A02CF1" w:rsidRPr="00122AA1" w:rsidRDefault="004822D0" w:rsidP="00B041E7">
      <w:pPr>
        <w:pStyle w:val="ListNumber2"/>
        <w:numPr>
          <w:ilvl w:val="0"/>
          <w:numId w:val="23"/>
        </w:numPr>
        <w:ind w:left="357" w:hanging="357"/>
        <w:rPr>
          <w:rFonts w:ascii="Arial" w:hAnsi="Arial" w:cs="Arial"/>
        </w:rPr>
      </w:pPr>
      <w:r w:rsidRPr="00122AA1">
        <w:rPr>
          <w:rFonts w:ascii="Arial" w:hAnsi="Arial" w:cs="Arial"/>
        </w:rPr>
        <w:t xml:space="preserve">What role can the ACMA and other </w:t>
      </w:r>
      <w:r w:rsidR="00EA2CDF" w:rsidRPr="00122AA1">
        <w:rPr>
          <w:rFonts w:ascii="Arial" w:hAnsi="Arial" w:cs="Arial"/>
        </w:rPr>
        <w:t>agencies</w:t>
      </w:r>
      <w:r w:rsidRPr="00122AA1">
        <w:rPr>
          <w:rFonts w:ascii="Arial" w:hAnsi="Arial" w:cs="Arial"/>
        </w:rPr>
        <w:t xml:space="preserve"> play in fostering citizen-friendly personal data practices on the part of organisations?</w:t>
      </w:r>
    </w:p>
    <w:p w:rsidR="00A02CF1" w:rsidRPr="00122AA1" w:rsidRDefault="000A34CD" w:rsidP="00352078">
      <w:pPr>
        <w:pStyle w:val="ListNumber2"/>
        <w:numPr>
          <w:ilvl w:val="0"/>
          <w:numId w:val="23"/>
        </w:numPr>
        <w:spacing w:after="240"/>
        <w:ind w:left="357" w:hanging="357"/>
        <w:rPr>
          <w:rFonts w:ascii="Arial" w:hAnsi="Arial" w:cs="Arial"/>
        </w:rPr>
      </w:pPr>
      <w:r w:rsidRPr="00122AA1">
        <w:rPr>
          <w:rFonts w:ascii="Arial" w:hAnsi="Arial" w:cs="Arial"/>
        </w:rPr>
        <w:t>How can industry participants promote awareness of and compliance with self-regulatory schemes that address citizens’ privacy and personal data concerns</w:t>
      </w:r>
      <w:r w:rsidR="00966DF2" w:rsidRPr="00122AA1">
        <w:rPr>
          <w:rFonts w:ascii="Arial" w:hAnsi="Arial" w:cs="Arial"/>
        </w:rPr>
        <w:t>?</w:t>
      </w:r>
    </w:p>
    <w:p w:rsidR="00EA2CDF" w:rsidRPr="00122AA1" w:rsidRDefault="00EA2CDF" w:rsidP="00EA2CDF">
      <w:pPr>
        <w:pStyle w:val="ListBullet"/>
        <w:numPr>
          <w:ilvl w:val="0"/>
          <w:numId w:val="0"/>
        </w:numPr>
        <w:ind w:left="295" w:hanging="295"/>
        <w:rPr>
          <w:rFonts w:ascii="Arial" w:hAnsi="Arial" w:cs="Arial"/>
        </w:rPr>
      </w:pPr>
      <w:r w:rsidRPr="00122AA1">
        <w:rPr>
          <w:rFonts w:ascii="Arial" w:hAnsi="Arial" w:cs="Arial"/>
        </w:rPr>
        <w:t xml:space="preserve">Feedback on this paper can be directed to </w:t>
      </w:r>
      <w:hyperlink r:id="rId20" w:history="1">
        <w:r w:rsidRPr="00122AA1">
          <w:rPr>
            <w:rStyle w:val="Hyperlink"/>
            <w:rFonts w:ascii="Arial" w:hAnsi="Arial" w:cs="Arial"/>
          </w:rPr>
          <w:t>regframe@acma.gov.au</w:t>
        </w:r>
      </w:hyperlink>
      <w:r w:rsidR="008D03FB" w:rsidRPr="00122AA1">
        <w:rPr>
          <w:rFonts w:ascii="Arial" w:hAnsi="Arial" w:cs="Arial"/>
        </w:rPr>
        <w:t>.</w:t>
      </w:r>
    </w:p>
    <w:p w:rsidR="00025D84" w:rsidRPr="00122AA1" w:rsidRDefault="00122AA1" w:rsidP="004B1953">
      <w:pPr>
        <w:pStyle w:val="Heading1"/>
        <w:rPr>
          <w:rFonts w:ascii="Arial" w:hAnsi="Arial"/>
        </w:rPr>
      </w:pPr>
      <w:bookmarkStart w:id="2" w:name="_Toc359574746"/>
      <w:r w:rsidRPr="00122AA1">
        <w:rPr>
          <w:rFonts w:ascii="Arial" w:hAnsi="Arial"/>
        </w:rPr>
        <w:t>Evolution of the personal</w:t>
      </w:r>
      <w:r w:rsidR="00352078" w:rsidRPr="00122AA1">
        <w:rPr>
          <w:rFonts w:ascii="Arial" w:hAnsi="Arial"/>
        </w:rPr>
        <w:br/>
      </w:r>
      <w:r w:rsidR="004A1FAC" w:rsidRPr="00122AA1">
        <w:rPr>
          <w:rFonts w:ascii="Arial" w:hAnsi="Arial"/>
        </w:rPr>
        <w:t>data environment</w:t>
      </w:r>
      <w:bookmarkEnd w:id="2"/>
    </w:p>
    <w:p w:rsidR="00835AAA" w:rsidRPr="00122AA1" w:rsidRDefault="00E33D05" w:rsidP="00E33D05">
      <w:pPr>
        <w:rPr>
          <w:rFonts w:ascii="Arial" w:hAnsi="Arial" w:cs="Arial"/>
        </w:rPr>
      </w:pPr>
      <w:r w:rsidRPr="00122AA1">
        <w:rPr>
          <w:rFonts w:ascii="Arial" w:hAnsi="Arial" w:cs="Arial"/>
        </w:rPr>
        <w:t>In the pre-digital economy, a relatively small number of organisations held and had access to indi</w:t>
      </w:r>
      <w:r w:rsidR="00DA6CB7" w:rsidRPr="00122AA1">
        <w:rPr>
          <w:rFonts w:ascii="Arial" w:hAnsi="Arial" w:cs="Arial"/>
        </w:rPr>
        <w:t xml:space="preserve">viduals’ personal information. </w:t>
      </w:r>
      <w:r w:rsidRPr="00122AA1">
        <w:rPr>
          <w:rFonts w:ascii="Arial" w:hAnsi="Arial" w:cs="Arial"/>
        </w:rPr>
        <w:t>Personal information tended to be collected sporadic</w:t>
      </w:r>
      <w:r w:rsidR="008D03FB" w:rsidRPr="00122AA1">
        <w:rPr>
          <w:rFonts w:ascii="Arial" w:hAnsi="Arial" w:cs="Arial"/>
        </w:rPr>
        <w:t>ally</w:t>
      </w:r>
      <w:r w:rsidRPr="00122AA1">
        <w:rPr>
          <w:rFonts w:ascii="Arial" w:hAnsi="Arial" w:cs="Arial"/>
        </w:rPr>
        <w:t>, often in hard copy</w:t>
      </w:r>
      <w:r w:rsidR="00DA6CB7" w:rsidRPr="00122AA1">
        <w:rPr>
          <w:rFonts w:ascii="Arial" w:hAnsi="Arial" w:cs="Arial"/>
        </w:rPr>
        <w:t xml:space="preserve">, for a single specific use. </w:t>
      </w:r>
    </w:p>
    <w:p w:rsidR="00835AAA" w:rsidRPr="00122AA1" w:rsidRDefault="00835AAA" w:rsidP="00E33D05">
      <w:pPr>
        <w:rPr>
          <w:rFonts w:ascii="Arial" w:hAnsi="Arial" w:cs="Arial"/>
        </w:rPr>
      </w:pPr>
    </w:p>
    <w:p w:rsidR="00EB023E" w:rsidRPr="00122AA1" w:rsidRDefault="00EA0914" w:rsidP="00E33D05">
      <w:pPr>
        <w:rPr>
          <w:rFonts w:ascii="Arial" w:hAnsi="Arial" w:cs="Arial"/>
        </w:rPr>
      </w:pPr>
      <w:r w:rsidRPr="00122AA1">
        <w:rPr>
          <w:rFonts w:ascii="Arial" w:hAnsi="Arial" w:cs="Arial"/>
        </w:rPr>
        <w:t>In contrast</w:t>
      </w:r>
      <w:r w:rsidR="00513309" w:rsidRPr="00122AA1">
        <w:rPr>
          <w:rFonts w:ascii="Arial" w:hAnsi="Arial" w:cs="Arial"/>
        </w:rPr>
        <w:t>, in the</w:t>
      </w:r>
      <w:r w:rsidR="00E33D05" w:rsidRPr="00122AA1">
        <w:rPr>
          <w:rFonts w:ascii="Arial" w:hAnsi="Arial" w:cs="Arial"/>
        </w:rPr>
        <w:t xml:space="preserve"> networked society and information economy, digital data is the currency of social and economic transactions, where those transactions are i</w:t>
      </w:r>
      <w:r w:rsidR="00DA6CB7" w:rsidRPr="00122AA1">
        <w:rPr>
          <w:rFonts w:ascii="Arial" w:hAnsi="Arial" w:cs="Arial"/>
        </w:rPr>
        <w:t xml:space="preserve">ncreasingly mobile and global. </w:t>
      </w:r>
      <w:r w:rsidR="00E33D05" w:rsidRPr="00122AA1">
        <w:rPr>
          <w:rFonts w:ascii="Arial" w:hAnsi="Arial" w:cs="Arial"/>
        </w:rPr>
        <w:t>Data about citizens’ online and offline behaviour is being analysed to improve delivery of services and target marketing activities. The increased capacity to create, store, analyse and reuse digital data about citizens</w:t>
      </w:r>
      <w:r w:rsidR="00380415" w:rsidRPr="00122AA1">
        <w:rPr>
          <w:rFonts w:ascii="Arial" w:hAnsi="Arial" w:cs="Arial"/>
        </w:rPr>
        <w:t>’</w:t>
      </w:r>
      <w:r w:rsidR="00E33D05" w:rsidRPr="00122AA1">
        <w:rPr>
          <w:rFonts w:ascii="Arial" w:hAnsi="Arial" w:cs="Arial"/>
        </w:rPr>
        <w:t xml:space="preserve"> activities and behaviour is transforming the personal data environment</w:t>
      </w:r>
      <w:r w:rsidR="00380415" w:rsidRPr="00122AA1">
        <w:rPr>
          <w:rFonts w:ascii="Arial" w:hAnsi="Arial" w:cs="Arial"/>
        </w:rPr>
        <w:t xml:space="preserve"> (see Figure 1)</w:t>
      </w:r>
      <w:r w:rsidR="00E33D05" w:rsidRPr="00122AA1">
        <w:rPr>
          <w:rFonts w:ascii="Arial" w:hAnsi="Arial" w:cs="Arial"/>
        </w:rPr>
        <w:t xml:space="preserve">. </w:t>
      </w:r>
    </w:p>
    <w:p w:rsidR="00EB023E" w:rsidRPr="00122AA1" w:rsidRDefault="00EB023E" w:rsidP="00E33D05">
      <w:pPr>
        <w:rPr>
          <w:rFonts w:ascii="Arial" w:hAnsi="Arial" w:cs="Arial"/>
        </w:rPr>
      </w:pPr>
    </w:p>
    <w:tbl>
      <w:tblPr>
        <w:tblW w:w="9645" w:type="dxa"/>
        <w:tblLayout w:type="fixed"/>
        <w:tblCellMar>
          <w:left w:w="0" w:type="dxa"/>
          <w:right w:w="0" w:type="dxa"/>
        </w:tblCellMar>
        <w:tblLook w:val="01E0"/>
      </w:tblPr>
      <w:tblGrid>
        <w:gridCol w:w="9645"/>
      </w:tblGrid>
      <w:tr w:rsidR="006E4320" w:rsidRPr="00122AA1">
        <w:trPr>
          <w:trHeight w:val="570"/>
        </w:trPr>
        <w:tc>
          <w:tcPr>
            <w:tcW w:w="9645" w:type="dxa"/>
            <w:tcBorders>
              <w:top w:val="single" w:sz="2" w:space="0" w:color="505050"/>
            </w:tcBorders>
            <w:shd w:val="clear" w:color="auto" w:fill="auto"/>
            <w:vAlign w:val="center"/>
          </w:tcPr>
          <w:p w:rsidR="006E4320" w:rsidRPr="00122AA1" w:rsidRDefault="006E4320">
            <w:pPr>
              <w:pStyle w:val="Caption"/>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1</w:t>
            </w:r>
            <w:r w:rsidR="00302C7D" w:rsidRPr="00122AA1">
              <w:rPr>
                <w:rFonts w:ascii="Arial" w:hAnsi="Arial" w:cs="Arial"/>
              </w:rPr>
              <w:fldChar w:fldCharType="end"/>
            </w:r>
            <w:r w:rsidRPr="00122AA1">
              <w:rPr>
                <w:rFonts w:ascii="Arial" w:hAnsi="Arial" w:cs="Arial"/>
              </w:rPr>
              <w:t xml:space="preserve"> Personal data environment</w:t>
            </w:r>
          </w:p>
        </w:tc>
      </w:tr>
      <w:tr w:rsidR="006E4320" w:rsidRPr="00122AA1">
        <w:trPr>
          <w:trHeight w:val="3086"/>
        </w:trPr>
        <w:tc>
          <w:tcPr>
            <w:tcW w:w="9645" w:type="dxa"/>
            <w:shd w:val="clear" w:color="auto" w:fill="auto"/>
            <w:tcMar>
              <w:left w:w="28" w:type="dxa"/>
            </w:tcMar>
          </w:tcPr>
          <w:p w:rsidR="006E4320" w:rsidRPr="00122AA1" w:rsidRDefault="006E4320">
            <w:pPr>
              <w:rPr>
                <w:rFonts w:ascii="Arial" w:hAnsi="Arial" w:cs="Arial"/>
              </w:rPr>
            </w:pPr>
            <w:r w:rsidRPr="00122AA1">
              <w:rPr>
                <w:rFonts w:ascii="Arial" w:hAnsi="Arial" w:cs="Arial"/>
                <w:noProof/>
              </w:rPr>
              <w:drawing>
                <wp:inline distT="0" distB="0" distL="0" distR="0">
                  <wp:extent cx="3905250" cy="3714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l="8554" t="10602" r="7943" b="9882"/>
                          <a:stretch>
                            <a:fillRect/>
                          </a:stretch>
                        </pic:blipFill>
                        <pic:spPr bwMode="auto">
                          <a:xfrm>
                            <a:off x="0" y="0"/>
                            <a:ext cx="3905250" cy="3714750"/>
                          </a:xfrm>
                          <a:prstGeom prst="rect">
                            <a:avLst/>
                          </a:prstGeom>
                          <a:noFill/>
                          <a:ln w="9525">
                            <a:noFill/>
                            <a:miter lim="800000"/>
                            <a:headEnd/>
                            <a:tailEnd/>
                          </a:ln>
                        </pic:spPr>
                      </pic:pic>
                    </a:graphicData>
                  </a:graphic>
                </wp:inline>
              </w:drawing>
            </w:r>
          </w:p>
        </w:tc>
      </w:tr>
      <w:tr w:rsidR="006E4320" w:rsidRPr="00122AA1">
        <w:trPr>
          <w:trHeight w:val="291"/>
        </w:trPr>
        <w:tc>
          <w:tcPr>
            <w:tcW w:w="9645" w:type="dxa"/>
            <w:tcBorders>
              <w:bottom w:val="single" w:sz="2" w:space="0" w:color="505050"/>
            </w:tcBorders>
            <w:shd w:val="clear" w:color="auto" w:fill="auto"/>
          </w:tcPr>
          <w:p w:rsidR="006E4320" w:rsidRPr="00122AA1" w:rsidRDefault="006E4320">
            <w:pPr>
              <w:rPr>
                <w:rFonts w:ascii="Arial" w:hAnsi="Arial" w:cs="Arial"/>
              </w:rPr>
            </w:pPr>
          </w:p>
        </w:tc>
      </w:tr>
    </w:tbl>
    <w:p w:rsidR="006E4320" w:rsidRPr="00122AA1" w:rsidRDefault="006E4320" w:rsidP="00E33D05">
      <w:pPr>
        <w:rPr>
          <w:rFonts w:ascii="Arial" w:hAnsi="Arial" w:cs="Arial"/>
        </w:rPr>
      </w:pPr>
    </w:p>
    <w:p w:rsidR="00A02CF1" w:rsidRPr="00122AA1" w:rsidRDefault="00A717B8" w:rsidP="000A48C5">
      <w:pPr>
        <w:spacing w:after="80"/>
        <w:rPr>
          <w:rFonts w:ascii="Arial" w:hAnsi="Arial" w:cs="Arial"/>
        </w:rPr>
      </w:pPr>
      <w:r w:rsidRPr="00122AA1">
        <w:rPr>
          <w:rFonts w:ascii="Arial" w:hAnsi="Arial" w:cs="Arial"/>
        </w:rPr>
        <w:t>This chapter examines developments in communications and computer processing power</w:t>
      </w:r>
      <w:r w:rsidR="00380415" w:rsidRPr="00122AA1">
        <w:rPr>
          <w:rFonts w:ascii="Arial" w:hAnsi="Arial" w:cs="Arial"/>
        </w:rPr>
        <w:t xml:space="preserve"> </w:t>
      </w:r>
      <w:r w:rsidRPr="00122AA1">
        <w:rPr>
          <w:rFonts w:ascii="Arial" w:hAnsi="Arial" w:cs="Arial"/>
        </w:rPr>
        <w:t>that are transforming</w:t>
      </w:r>
      <w:r w:rsidR="00DA6CB7" w:rsidRPr="00122AA1">
        <w:rPr>
          <w:rFonts w:ascii="Arial" w:hAnsi="Arial" w:cs="Arial"/>
        </w:rPr>
        <w:t xml:space="preserve"> the personal data environment.</w:t>
      </w:r>
      <w:r w:rsidRPr="00122AA1">
        <w:rPr>
          <w:rFonts w:ascii="Arial" w:hAnsi="Arial" w:cs="Arial"/>
        </w:rPr>
        <w:t xml:space="preserve"> Key developments covered include:</w:t>
      </w:r>
    </w:p>
    <w:p w:rsidR="00380415" w:rsidRPr="00122AA1" w:rsidRDefault="00A717B8" w:rsidP="000A48C5">
      <w:pPr>
        <w:pStyle w:val="ListBullet"/>
        <w:tabs>
          <w:tab w:val="clear" w:pos="295"/>
          <w:tab w:val="num" w:pos="-124"/>
          <w:tab w:val="num" w:pos="717"/>
        </w:tabs>
        <w:rPr>
          <w:rFonts w:ascii="Arial" w:hAnsi="Arial" w:cs="Arial"/>
        </w:rPr>
      </w:pPr>
      <w:r w:rsidRPr="00122AA1">
        <w:rPr>
          <w:rFonts w:ascii="Arial" w:hAnsi="Arial" w:cs="Arial"/>
        </w:rPr>
        <w:t>device capabilities</w:t>
      </w:r>
    </w:p>
    <w:p w:rsidR="00380415" w:rsidRPr="00122AA1" w:rsidRDefault="00A717B8">
      <w:pPr>
        <w:pStyle w:val="ListBullet"/>
        <w:tabs>
          <w:tab w:val="clear" w:pos="295"/>
          <w:tab w:val="num" w:pos="-124"/>
          <w:tab w:val="num" w:pos="717"/>
        </w:tabs>
        <w:rPr>
          <w:rFonts w:ascii="Arial" w:hAnsi="Arial" w:cs="Arial"/>
        </w:rPr>
      </w:pPr>
      <w:r w:rsidRPr="00122AA1">
        <w:rPr>
          <w:rFonts w:ascii="Arial" w:hAnsi="Arial" w:cs="Arial"/>
        </w:rPr>
        <w:t>software and apps</w:t>
      </w:r>
    </w:p>
    <w:p w:rsidR="00380415" w:rsidRPr="00122AA1" w:rsidRDefault="00A717B8">
      <w:pPr>
        <w:pStyle w:val="ListBullet"/>
        <w:tabs>
          <w:tab w:val="clear" w:pos="295"/>
          <w:tab w:val="num" w:pos="-124"/>
          <w:tab w:val="num" w:pos="717"/>
        </w:tabs>
        <w:rPr>
          <w:rFonts w:ascii="Arial" w:hAnsi="Arial" w:cs="Arial"/>
        </w:rPr>
      </w:pPr>
      <w:r w:rsidRPr="00122AA1">
        <w:rPr>
          <w:rFonts w:ascii="Arial" w:hAnsi="Arial" w:cs="Arial"/>
        </w:rPr>
        <w:t>increasing network capacity for data traffic</w:t>
      </w:r>
    </w:p>
    <w:p w:rsidR="00380415" w:rsidRPr="00122AA1" w:rsidRDefault="00A717B8">
      <w:pPr>
        <w:pStyle w:val="ListBullet"/>
        <w:tabs>
          <w:tab w:val="clear" w:pos="295"/>
          <w:tab w:val="num" w:pos="-124"/>
          <w:tab w:val="num" w:pos="717"/>
        </w:tabs>
        <w:rPr>
          <w:rFonts w:ascii="Arial" w:hAnsi="Arial" w:cs="Arial"/>
        </w:rPr>
      </w:pPr>
      <w:r w:rsidRPr="00122AA1">
        <w:rPr>
          <w:rFonts w:ascii="Arial" w:hAnsi="Arial" w:cs="Arial"/>
        </w:rPr>
        <w:t xml:space="preserve">increases in search and </w:t>
      </w:r>
      <w:r w:rsidR="00EA0914" w:rsidRPr="00122AA1">
        <w:rPr>
          <w:rFonts w:ascii="Arial" w:hAnsi="Arial" w:cs="Arial"/>
        </w:rPr>
        <w:t>data analytic</w:t>
      </w:r>
      <w:r w:rsidR="006F4E60" w:rsidRPr="00122AA1">
        <w:rPr>
          <w:rFonts w:ascii="Arial" w:hAnsi="Arial" w:cs="Arial"/>
        </w:rPr>
        <w:t>s</w:t>
      </w:r>
      <w:r w:rsidR="00EA0914" w:rsidRPr="00122AA1">
        <w:rPr>
          <w:rFonts w:ascii="Arial" w:hAnsi="Arial" w:cs="Arial"/>
        </w:rPr>
        <w:t xml:space="preserve"> </w:t>
      </w:r>
      <w:r w:rsidRPr="00122AA1">
        <w:rPr>
          <w:rFonts w:ascii="Arial" w:hAnsi="Arial" w:cs="Arial"/>
        </w:rPr>
        <w:t>spawned by advances in computer processing</w:t>
      </w:r>
    </w:p>
    <w:p w:rsidR="00380415" w:rsidRPr="00122AA1" w:rsidRDefault="00A717B8" w:rsidP="00352078">
      <w:pPr>
        <w:pStyle w:val="ListBullet"/>
        <w:tabs>
          <w:tab w:val="clear" w:pos="295"/>
          <w:tab w:val="num" w:pos="-124"/>
          <w:tab w:val="num" w:pos="717"/>
        </w:tabs>
        <w:spacing w:after="240"/>
        <w:rPr>
          <w:rFonts w:ascii="Arial" w:hAnsi="Arial" w:cs="Arial"/>
        </w:rPr>
      </w:pPr>
      <w:r w:rsidRPr="00122AA1">
        <w:rPr>
          <w:rFonts w:ascii="Arial" w:hAnsi="Arial" w:cs="Arial"/>
        </w:rPr>
        <w:t xml:space="preserve">the changing forms of personal information. </w:t>
      </w:r>
    </w:p>
    <w:p w:rsidR="00A02CF1" w:rsidRPr="00122AA1" w:rsidRDefault="00E33D05">
      <w:pPr>
        <w:pStyle w:val="Heading2"/>
        <w:rPr>
          <w:rFonts w:ascii="Arial" w:hAnsi="Arial"/>
        </w:rPr>
      </w:pPr>
      <w:bookmarkStart w:id="3" w:name="_Toc359574747"/>
      <w:r w:rsidRPr="00122AA1">
        <w:rPr>
          <w:rFonts w:ascii="Arial" w:hAnsi="Arial"/>
        </w:rPr>
        <w:t>Sophisticated d</w:t>
      </w:r>
      <w:r w:rsidR="00031183" w:rsidRPr="00122AA1">
        <w:rPr>
          <w:rFonts w:ascii="Arial" w:hAnsi="Arial"/>
        </w:rPr>
        <w:t>evice</w:t>
      </w:r>
      <w:r w:rsidRPr="00122AA1">
        <w:rPr>
          <w:rFonts w:ascii="Arial" w:hAnsi="Arial"/>
        </w:rPr>
        <w:t xml:space="preserve">s </w:t>
      </w:r>
      <w:r w:rsidR="00031183" w:rsidRPr="00122AA1">
        <w:rPr>
          <w:rFonts w:ascii="Arial" w:hAnsi="Arial"/>
        </w:rPr>
        <w:t>support rich data collection</w:t>
      </w:r>
      <w:bookmarkEnd w:id="3"/>
    </w:p>
    <w:p w:rsidR="00C1274D" w:rsidRPr="00122AA1" w:rsidRDefault="004A1FAC" w:rsidP="004A1FAC">
      <w:pPr>
        <w:rPr>
          <w:rFonts w:ascii="Arial" w:hAnsi="Arial" w:cs="Arial"/>
        </w:rPr>
      </w:pPr>
      <w:r w:rsidRPr="00122AA1">
        <w:rPr>
          <w:rFonts w:ascii="Arial" w:hAnsi="Arial" w:cs="Arial"/>
        </w:rPr>
        <w:t xml:space="preserve">Vendors are designing devices with increasing </w:t>
      </w:r>
      <w:r w:rsidR="005946CE" w:rsidRPr="00122AA1">
        <w:rPr>
          <w:rFonts w:ascii="Arial" w:hAnsi="Arial" w:cs="Arial"/>
        </w:rPr>
        <w:t xml:space="preserve">data storage </w:t>
      </w:r>
      <w:r w:rsidRPr="00122AA1">
        <w:rPr>
          <w:rFonts w:ascii="Arial" w:hAnsi="Arial" w:cs="Arial"/>
        </w:rPr>
        <w:t>capacit</w:t>
      </w:r>
      <w:r w:rsidR="00050D8E" w:rsidRPr="00122AA1">
        <w:rPr>
          <w:rFonts w:ascii="Arial" w:hAnsi="Arial" w:cs="Arial"/>
        </w:rPr>
        <w:t>y</w:t>
      </w:r>
      <w:r w:rsidRPr="00122AA1">
        <w:rPr>
          <w:rFonts w:ascii="Arial" w:hAnsi="Arial" w:cs="Arial"/>
        </w:rPr>
        <w:t xml:space="preserve"> and </w:t>
      </w:r>
      <w:r w:rsidR="005946CE" w:rsidRPr="00122AA1">
        <w:rPr>
          <w:rFonts w:ascii="Arial" w:hAnsi="Arial" w:cs="Arial"/>
        </w:rPr>
        <w:t>functions</w:t>
      </w:r>
      <w:r w:rsidR="00050D8E" w:rsidRPr="00122AA1">
        <w:rPr>
          <w:rFonts w:ascii="Arial" w:hAnsi="Arial" w:cs="Arial"/>
        </w:rPr>
        <w:t>,</w:t>
      </w:r>
      <w:r w:rsidRPr="00122AA1">
        <w:rPr>
          <w:rFonts w:ascii="Arial" w:hAnsi="Arial" w:cs="Arial"/>
        </w:rPr>
        <w:t xml:space="preserve"> many of which have implications for </w:t>
      </w:r>
      <w:r w:rsidR="005946CE" w:rsidRPr="00122AA1">
        <w:rPr>
          <w:rFonts w:ascii="Arial" w:hAnsi="Arial" w:cs="Arial"/>
        </w:rPr>
        <w:t xml:space="preserve">the creation, storage and use of </w:t>
      </w:r>
      <w:r w:rsidR="00DA6CB7" w:rsidRPr="00122AA1">
        <w:rPr>
          <w:rFonts w:ascii="Arial" w:hAnsi="Arial" w:cs="Arial"/>
        </w:rPr>
        <w:t>personal data.</w:t>
      </w:r>
      <w:r w:rsidRPr="00122AA1">
        <w:rPr>
          <w:rFonts w:ascii="Arial" w:hAnsi="Arial" w:cs="Arial"/>
        </w:rPr>
        <w:t xml:space="preserve"> The most </w:t>
      </w:r>
      <w:r w:rsidR="00C64DE2" w:rsidRPr="00122AA1">
        <w:rPr>
          <w:rFonts w:ascii="Arial" w:hAnsi="Arial" w:cs="Arial"/>
        </w:rPr>
        <w:t xml:space="preserve">significant </w:t>
      </w:r>
      <w:r w:rsidRPr="00122AA1">
        <w:rPr>
          <w:rFonts w:ascii="Arial" w:hAnsi="Arial" w:cs="Arial"/>
        </w:rPr>
        <w:t>developments in consumer devices have been the range of smartphones and tablets with audiovisual recording capabilities, sensors for location data and near-field communications</w:t>
      </w:r>
      <w:r w:rsidR="00050D8E" w:rsidRPr="00122AA1">
        <w:rPr>
          <w:rFonts w:ascii="Arial" w:hAnsi="Arial" w:cs="Arial"/>
        </w:rPr>
        <w:t>,</w:t>
      </w:r>
      <w:r w:rsidRPr="00122AA1">
        <w:rPr>
          <w:rFonts w:ascii="Arial" w:hAnsi="Arial" w:cs="Arial"/>
        </w:rPr>
        <w:t xml:space="preserve"> and </w:t>
      </w:r>
      <w:r w:rsidR="006F4E60" w:rsidRPr="00122AA1">
        <w:rPr>
          <w:rFonts w:ascii="Arial" w:hAnsi="Arial" w:cs="Arial"/>
        </w:rPr>
        <w:t xml:space="preserve">new </w:t>
      </w:r>
      <w:r w:rsidRPr="00122AA1">
        <w:rPr>
          <w:rFonts w:ascii="Arial" w:hAnsi="Arial" w:cs="Arial"/>
        </w:rPr>
        <w:t>wi</w:t>
      </w:r>
      <w:r w:rsidR="00DA6CB7" w:rsidRPr="00122AA1">
        <w:rPr>
          <w:rFonts w:ascii="Arial" w:hAnsi="Arial" w:cs="Arial"/>
        </w:rPr>
        <w:t>reless networking capabilities.</w:t>
      </w:r>
      <w:r w:rsidRPr="00122AA1">
        <w:rPr>
          <w:rFonts w:ascii="Arial" w:hAnsi="Arial" w:cs="Arial"/>
        </w:rPr>
        <w:t xml:space="preserve"> </w:t>
      </w:r>
      <w:r w:rsidR="00DA6CB7" w:rsidRPr="00122AA1">
        <w:rPr>
          <w:rFonts w:ascii="Arial" w:hAnsi="Arial" w:cs="Arial"/>
        </w:rPr>
        <w:br/>
      </w:r>
    </w:p>
    <w:p w:rsidR="009B049D" w:rsidRPr="00122AA1" w:rsidRDefault="004A1FAC" w:rsidP="004A1FAC">
      <w:pPr>
        <w:rPr>
          <w:rFonts w:ascii="Arial" w:hAnsi="Arial" w:cs="Arial"/>
        </w:rPr>
      </w:pPr>
      <w:r w:rsidRPr="00122AA1">
        <w:rPr>
          <w:rFonts w:ascii="Arial" w:hAnsi="Arial" w:cs="Arial"/>
        </w:rPr>
        <w:t>An important characteristic of these devices is that they are personal and portable</w:t>
      </w:r>
      <w:r w:rsidR="00C1274D" w:rsidRPr="00122AA1">
        <w:rPr>
          <w:rFonts w:ascii="Arial" w:hAnsi="Arial" w:cs="Arial"/>
        </w:rPr>
        <w:t>.</w:t>
      </w:r>
      <w:r w:rsidR="006F4E60" w:rsidRPr="00122AA1">
        <w:rPr>
          <w:rFonts w:ascii="Arial" w:hAnsi="Arial" w:cs="Arial"/>
        </w:rPr>
        <w:t xml:space="preserve"> They</w:t>
      </w:r>
      <w:r w:rsidRPr="00122AA1">
        <w:rPr>
          <w:rFonts w:ascii="Arial" w:hAnsi="Arial" w:cs="Arial"/>
        </w:rPr>
        <w:t xml:space="preserve"> allow</w:t>
      </w:r>
      <w:r w:rsidR="006F4E60" w:rsidRPr="00122AA1">
        <w:rPr>
          <w:rFonts w:ascii="Arial" w:hAnsi="Arial" w:cs="Arial"/>
        </w:rPr>
        <w:t xml:space="preserve"> </w:t>
      </w:r>
      <w:r w:rsidRPr="00122AA1">
        <w:rPr>
          <w:rFonts w:ascii="Arial" w:hAnsi="Arial" w:cs="Arial"/>
        </w:rPr>
        <w:t>data about individuals’ behaviour and preferences to be recorded and related to other</w:t>
      </w:r>
      <w:r w:rsidR="00DA6CB7" w:rsidRPr="00122AA1">
        <w:rPr>
          <w:rFonts w:ascii="Arial" w:hAnsi="Arial" w:cs="Arial"/>
        </w:rPr>
        <w:t xml:space="preserve"> data stored on the devices</w:t>
      </w:r>
      <w:r w:rsidR="006F4E60" w:rsidRPr="00122AA1">
        <w:rPr>
          <w:rFonts w:ascii="Arial" w:hAnsi="Arial" w:cs="Arial"/>
        </w:rPr>
        <w:t xml:space="preserve"> and data to be </w:t>
      </w:r>
      <w:r w:rsidR="00EA0914" w:rsidRPr="00122AA1">
        <w:rPr>
          <w:rFonts w:ascii="Arial" w:hAnsi="Arial" w:cs="Arial"/>
        </w:rPr>
        <w:t>exchanged on a near-continuous basis.</w:t>
      </w:r>
      <w:r w:rsidR="00DA6CB7" w:rsidRPr="00122AA1">
        <w:rPr>
          <w:rFonts w:ascii="Arial" w:hAnsi="Arial" w:cs="Arial"/>
        </w:rPr>
        <w:t xml:space="preserve"> </w:t>
      </w:r>
    </w:p>
    <w:p w:rsidR="009B049D" w:rsidRPr="00122AA1" w:rsidRDefault="009B049D" w:rsidP="009B049D">
      <w:pPr>
        <w:rPr>
          <w:rFonts w:ascii="Arial" w:hAnsi="Arial" w:cs="Arial"/>
        </w:rPr>
      </w:pPr>
    </w:p>
    <w:tbl>
      <w:tblPr>
        <w:tblW w:w="9645" w:type="dxa"/>
        <w:tblLayout w:type="fixed"/>
        <w:tblCellMar>
          <w:left w:w="0" w:type="dxa"/>
          <w:right w:w="0" w:type="dxa"/>
        </w:tblCellMar>
        <w:tblLook w:val="01E0"/>
      </w:tblPr>
      <w:tblGrid>
        <w:gridCol w:w="9645"/>
      </w:tblGrid>
      <w:tr w:rsidR="006E4320" w:rsidRPr="00122AA1">
        <w:trPr>
          <w:trHeight w:val="570"/>
        </w:trPr>
        <w:tc>
          <w:tcPr>
            <w:tcW w:w="9645" w:type="dxa"/>
            <w:tcBorders>
              <w:top w:val="single" w:sz="2" w:space="0" w:color="505050"/>
            </w:tcBorders>
            <w:shd w:val="clear" w:color="auto" w:fill="auto"/>
            <w:vAlign w:val="center"/>
          </w:tcPr>
          <w:p w:rsidR="006E4320" w:rsidRPr="00122AA1" w:rsidRDefault="006E4320">
            <w:pPr>
              <w:pStyle w:val="Caption"/>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2</w:t>
            </w:r>
            <w:r w:rsidR="00302C7D" w:rsidRPr="00122AA1">
              <w:rPr>
                <w:rFonts w:ascii="Arial" w:hAnsi="Arial" w:cs="Arial"/>
              </w:rPr>
              <w:fldChar w:fldCharType="end"/>
            </w:r>
            <w:r w:rsidRPr="00122AA1">
              <w:rPr>
                <w:rFonts w:ascii="Arial" w:hAnsi="Arial" w:cs="Arial"/>
              </w:rPr>
              <w:t xml:space="preserve"> Connected devices enable collection of personal data</w:t>
            </w:r>
          </w:p>
        </w:tc>
      </w:tr>
      <w:tr w:rsidR="006E4320" w:rsidRPr="00122AA1">
        <w:trPr>
          <w:trHeight w:val="3086"/>
        </w:trPr>
        <w:tc>
          <w:tcPr>
            <w:tcW w:w="9645" w:type="dxa"/>
            <w:shd w:val="clear" w:color="auto" w:fill="auto"/>
            <w:tcMar>
              <w:left w:w="28" w:type="dxa"/>
            </w:tcMar>
          </w:tcPr>
          <w:p w:rsidR="006E4320" w:rsidRPr="00122AA1" w:rsidRDefault="006E4320">
            <w:pPr>
              <w:rPr>
                <w:rFonts w:ascii="Arial" w:hAnsi="Arial" w:cs="Arial"/>
              </w:rPr>
            </w:pPr>
            <w:r w:rsidRPr="00122AA1">
              <w:rPr>
                <w:rFonts w:ascii="Arial" w:hAnsi="Arial" w:cs="Arial"/>
                <w:noProof/>
              </w:rPr>
              <w:drawing>
                <wp:inline distT="0" distB="0" distL="0" distR="0">
                  <wp:extent cx="3905250" cy="2628900"/>
                  <wp:effectExtent l="19050" t="0" r="0" b="0"/>
                  <wp:docPr id="3" name="Picture 1" descr="clou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 graphic"/>
                          <pic:cNvPicPr>
                            <a:picLocks noChangeAspect="1" noChangeArrowheads="1"/>
                          </pic:cNvPicPr>
                        </pic:nvPicPr>
                        <pic:blipFill>
                          <a:blip r:embed="rId22" cstate="print"/>
                          <a:srcRect l="5870" r="5000"/>
                          <a:stretch>
                            <a:fillRect/>
                          </a:stretch>
                        </pic:blipFill>
                        <pic:spPr bwMode="auto">
                          <a:xfrm>
                            <a:off x="0" y="0"/>
                            <a:ext cx="3905250" cy="2628900"/>
                          </a:xfrm>
                          <a:prstGeom prst="rect">
                            <a:avLst/>
                          </a:prstGeom>
                          <a:noFill/>
                          <a:ln w="9525">
                            <a:noFill/>
                            <a:miter lim="800000"/>
                            <a:headEnd/>
                            <a:tailEnd/>
                          </a:ln>
                        </pic:spPr>
                      </pic:pic>
                    </a:graphicData>
                  </a:graphic>
                </wp:inline>
              </w:drawing>
            </w:r>
          </w:p>
        </w:tc>
      </w:tr>
      <w:tr w:rsidR="006E4320" w:rsidRPr="00122AA1">
        <w:trPr>
          <w:trHeight w:val="291"/>
        </w:trPr>
        <w:tc>
          <w:tcPr>
            <w:tcW w:w="9645" w:type="dxa"/>
            <w:tcBorders>
              <w:bottom w:val="single" w:sz="2" w:space="0" w:color="505050"/>
            </w:tcBorders>
            <w:shd w:val="clear" w:color="auto" w:fill="auto"/>
          </w:tcPr>
          <w:p w:rsidR="006E4320" w:rsidRPr="00122AA1" w:rsidRDefault="006E4320">
            <w:pPr>
              <w:rPr>
                <w:rFonts w:ascii="Arial" w:hAnsi="Arial" w:cs="Arial"/>
              </w:rPr>
            </w:pPr>
          </w:p>
        </w:tc>
      </w:tr>
    </w:tbl>
    <w:p w:rsidR="006E4320" w:rsidRPr="00122AA1" w:rsidRDefault="006E4320" w:rsidP="006E4320">
      <w:pPr>
        <w:rPr>
          <w:rFonts w:ascii="Arial" w:hAnsi="Arial" w:cs="Arial"/>
        </w:rPr>
      </w:pPr>
    </w:p>
    <w:p w:rsidR="00E33D05" w:rsidRPr="00122AA1" w:rsidRDefault="004A1FAC" w:rsidP="004A1FAC">
      <w:pPr>
        <w:rPr>
          <w:rFonts w:ascii="Arial" w:hAnsi="Arial" w:cs="Arial"/>
        </w:rPr>
      </w:pPr>
      <w:r w:rsidRPr="00122AA1">
        <w:rPr>
          <w:rFonts w:ascii="Arial" w:hAnsi="Arial" w:cs="Arial"/>
        </w:rPr>
        <w:t>Take</w:t>
      </w:r>
      <w:r w:rsidR="007B6D65" w:rsidRPr="00122AA1">
        <w:rPr>
          <w:rFonts w:ascii="Arial" w:hAnsi="Arial" w:cs="Arial"/>
        </w:rPr>
        <w:t>-up</w:t>
      </w:r>
      <w:r w:rsidRPr="00122AA1">
        <w:rPr>
          <w:rFonts w:ascii="Arial" w:hAnsi="Arial" w:cs="Arial"/>
        </w:rPr>
        <w:t xml:space="preserve"> of these devices has been rapid, with adult ownership of smartphones roughly doubling between June 2011 and June 2012.</w:t>
      </w:r>
      <w:r w:rsidRPr="00122AA1">
        <w:rPr>
          <w:rStyle w:val="FootnoteReference"/>
          <w:rFonts w:cs="Arial"/>
        </w:rPr>
        <w:footnoteReference w:id="5"/>
      </w:r>
      <w:r w:rsidR="00E33D05" w:rsidRPr="00122AA1">
        <w:rPr>
          <w:rFonts w:ascii="Arial" w:hAnsi="Arial" w:cs="Arial"/>
        </w:rPr>
        <w:t xml:space="preserve"> </w:t>
      </w:r>
      <w:r w:rsidR="006A60F9" w:rsidRPr="00122AA1">
        <w:rPr>
          <w:rFonts w:ascii="Arial" w:hAnsi="Arial" w:cs="Arial"/>
        </w:rPr>
        <w:t>It is estimated that by the end of 2013, around 50 per cent of Australian homes will have at least one tablet and 70 per cent of Australians will own a smartphone.</w:t>
      </w:r>
      <w:r w:rsidR="006A60F9" w:rsidRPr="00122AA1">
        <w:rPr>
          <w:rStyle w:val="FootnoteReference"/>
          <w:rFonts w:cs="Arial"/>
        </w:rPr>
        <w:footnoteReference w:id="6"/>
      </w:r>
      <w:r w:rsidR="006A60F9" w:rsidRPr="00122AA1">
        <w:rPr>
          <w:rFonts w:ascii="Arial" w:hAnsi="Arial" w:cs="Arial"/>
        </w:rPr>
        <w:t xml:space="preserve"> </w:t>
      </w:r>
    </w:p>
    <w:p w:rsidR="004A1FAC" w:rsidRPr="00122AA1" w:rsidRDefault="004A1FAC" w:rsidP="004A1FAC">
      <w:pPr>
        <w:rPr>
          <w:rFonts w:ascii="Arial" w:hAnsi="Arial" w:cs="Arial"/>
        </w:rPr>
      </w:pPr>
    </w:p>
    <w:p w:rsidR="00FA0DEA" w:rsidRPr="00122AA1" w:rsidRDefault="004A1FAC" w:rsidP="00555247">
      <w:pPr>
        <w:rPr>
          <w:rFonts w:ascii="Arial" w:hAnsi="Arial" w:cs="Arial"/>
        </w:rPr>
      </w:pPr>
      <w:r w:rsidRPr="00122AA1">
        <w:rPr>
          <w:rFonts w:ascii="Arial" w:hAnsi="Arial" w:cs="Arial"/>
        </w:rPr>
        <w:t>Interest in location data is rapidly increasing as a result of the rapid take-up of smartphones and other devices with Global Positionin</w:t>
      </w:r>
      <w:r w:rsidR="00DA6CB7" w:rsidRPr="00122AA1">
        <w:rPr>
          <w:rFonts w:ascii="Arial" w:hAnsi="Arial" w:cs="Arial"/>
        </w:rPr>
        <w:t>g System location capabilities.</w:t>
      </w:r>
      <w:r w:rsidRPr="00122AA1">
        <w:rPr>
          <w:rFonts w:ascii="Arial" w:hAnsi="Arial" w:cs="Arial"/>
        </w:rPr>
        <w:t xml:space="preserve"> An increasing range of applications are incorporating location information in their function</w:t>
      </w:r>
      <w:r w:rsidR="00FA0DEA" w:rsidRPr="00122AA1">
        <w:rPr>
          <w:rFonts w:ascii="Arial" w:hAnsi="Arial" w:cs="Arial"/>
        </w:rPr>
        <w:t>s</w:t>
      </w:r>
      <w:r w:rsidRPr="00122AA1">
        <w:rPr>
          <w:rFonts w:ascii="Arial" w:hAnsi="Arial" w:cs="Arial"/>
        </w:rPr>
        <w:t xml:space="preserve"> to deliver information that is geo</w:t>
      </w:r>
      <w:r w:rsidR="00DA6CB7" w:rsidRPr="00122AA1">
        <w:rPr>
          <w:rFonts w:ascii="Arial" w:hAnsi="Arial" w:cs="Arial"/>
        </w:rPr>
        <w:t>graphically relevant to users.</w:t>
      </w:r>
    </w:p>
    <w:p w:rsidR="004A1FAC" w:rsidRPr="00122AA1" w:rsidRDefault="004A1FAC" w:rsidP="004A1FAC">
      <w:pPr>
        <w:rPr>
          <w:rFonts w:ascii="Arial" w:hAnsi="Arial" w:cs="Arial"/>
        </w:rPr>
      </w:pPr>
    </w:p>
    <w:p w:rsidR="004A1FAC" w:rsidRPr="00122AA1" w:rsidRDefault="004A1FAC" w:rsidP="00FA0DEA">
      <w:pPr>
        <w:rPr>
          <w:rFonts w:ascii="Arial" w:hAnsi="Arial" w:cs="Arial"/>
        </w:rPr>
      </w:pPr>
      <w:r w:rsidRPr="00122AA1">
        <w:rPr>
          <w:rFonts w:ascii="Arial" w:hAnsi="Arial" w:cs="Arial"/>
        </w:rPr>
        <w:t>Near</w:t>
      </w:r>
      <w:r w:rsidR="003E1AFE" w:rsidRPr="00122AA1">
        <w:rPr>
          <w:rFonts w:ascii="Arial" w:hAnsi="Arial" w:cs="Arial"/>
        </w:rPr>
        <w:t>-</w:t>
      </w:r>
      <w:r w:rsidRPr="00122AA1">
        <w:rPr>
          <w:rFonts w:ascii="Arial" w:hAnsi="Arial" w:cs="Arial"/>
        </w:rPr>
        <w:t xml:space="preserve">field communications (NFC) technology is another example of device technology </w:t>
      </w:r>
      <w:r w:rsidR="003C3DF9" w:rsidRPr="00122AA1">
        <w:rPr>
          <w:rFonts w:ascii="Arial" w:hAnsi="Arial" w:cs="Arial"/>
        </w:rPr>
        <w:t>with</w:t>
      </w:r>
      <w:r w:rsidRPr="00122AA1">
        <w:rPr>
          <w:rFonts w:ascii="Arial" w:hAnsi="Arial" w:cs="Arial"/>
        </w:rPr>
        <w:t xml:space="preserve"> the potential to </w:t>
      </w:r>
      <w:r w:rsidR="003C3DF9" w:rsidRPr="00122AA1">
        <w:rPr>
          <w:rFonts w:ascii="Arial" w:hAnsi="Arial" w:cs="Arial"/>
        </w:rPr>
        <w:t xml:space="preserve">have an </w:t>
      </w:r>
      <w:r w:rsidRPr="00122AA1">
        <w:rPr>
          <w:rFonts w:ascii="Arial" w:hAnsi="Arial" w:cs="Arial"/>
        </w:rPr>
        <w:t>impa</w:t>
      </w:r>
      <w:r w:rsidR="00DA6CB7" w:rsidRPr="00122AA1">
        <w:rPr>
          <w:rFonts w:ascii="Arial" w:hAnsi="Arial" w:cs="Arial"/>
        </w:rPr>
        <w:t>ct on personal data collection.</w:t>
      </w:r>
      <w:r w:rsidRPr="00122AA1">
        <w:rPr>
          <w:rFonts w:ascii="Arial" w:hAnsi="Arial" w:cs="Arial"/>
        </w:rPr>
        <w:t xml:space="preserve"> Mobile devices are increasingly </w:t>
      </w:r>
      <w:r w:rsidR="00DA6CB7" w:rsidRPr="00122AA1">
        <w:rPr>
          <w:rFonts w:ascii="Arial" w:hAnsi="Arial" w:cs="Arial"/>
        </w:rPr>
        <w:t>incorporating NFC capabilities.</w:t>
      </w:r>
      <w:r w:rsidRPr="00122AA1">
        <w:rPr>
          <w:rFonts w:ascii="Arial" w:hAnsi="Arial" w:cs="Arial"/>
        </w:rPr>
        <w:t xml:space="preserve"> </w:t>
      </w:r>
      <w:r w:rsidR="00FA0DEA" w:rsidRPr="00122AA1">
        <w:rPr>
          <w:rFonts w:ascii="Arial" w:hAnsi="Arial" w:cs="Arial"/>
        </w:rPr>
        <w:t xml:space="preserve">To date, NFC use is </w:t>
      </w:r>
      <w:r w:rsidRPr="00122AA1">
        <w:rPr>
          <w:rFonts w:ascii="Arial" w:hAnsi="Arial" w:cs="Arial"/>
        </w:rPr>
        <w:t>largely limited to payment mechanisms</w:t>
      </w:r>
      <w:r w:rsidR="003C3DF9" w:rsidRPr="00122AA1">
        <w:rPr>
          <w:rFonts w:ascii="Arial" w:hAnsi="Arial" w:cs="Arial"/>
        </w:rPr>
        <w:t>. However</w:t>
      </w:r>
      <w:r w:rsidRPr="00122AA1">
        <w:rPr>
          <w:rFonts w:ascii="Arial" w:hAnsi="Arial" w:cs="Arial"/>
        </w:rPr>
        <w:t xml:space="preserve">, its </w:t>
      </w:r>
      <w:r w:rsidR="003C3DF9" w:rsidRPr="00122AA1">
        <w:rPr>
          <w:rFonts w:ascii="Arial" w:hAnsi="Arial" w:cs="Arial"/>
        </w:rPr>
        <w:t xml:space="preserve">possible </w:t>
      </w:r>
      <w:r w:rsidRPr="00122AA1">
        <w:rPr>
          <w:rFonts w:ascii="Arial" w:hAnsi="Arial" w:cs="Arial"/>
        </w:rPr>
        <w:t>application to customer loyalty, ticketing and a range of other proximity-related applications would potentially enable the collection of</w:t>
      </w:r>
      <w:r w:rsidR="00DA6CB7" w:rsidRPr="00122AA1">
        <w:rPr>
          <w:rFonts w:ascii="Arial" w:hAnsi="Arial" w:cs="Arial"/>
        </w:rPr>
        <w:t xml:space="preserve"> new types of behavioural data.</w:t>
      </w:r>
      <w:r w:rsidRPr="00122AA1">
        <w:rPr>
          <w:rFonts w:ascii="Arial" w:hAnsi="Arial" w:cs="Arial"/>
        </w:rPr>
        <w:t xml:space="preserve"> </w:t>
      </w:r>
    </w:p>
    <w:p w:rsidR="004A1FAC" w:rsidRPr="00122AA1" w:rsidRDefault="004A1FAC" w:rsidP="004A1FAC">
      <w:pPr>
        <w:rPr>
          <w:rFonts w:ascii="Arial" w:hAnsi="Arial" w:cs="Arial"/>
        </w:rPr>
      </w:pPr>
    </w:p>
    <w:p w:rsidR="00A02CF1" w:rsidRPr="00122AA1" w:rsidRDefault="004A1FAC">
      <w:pPr>
        <w:pStyle w:val="Heading2"/>
        <w:rPr>
          <w:rFonts w:ascii="Arial" w:hAnsi="Arial"/>
        </w:rPr>
      </w:pPr>
      <w:bookmarkStart w:id="4" w:name="_Toc359574748"/>
      <w:r w:rsidRPr="00122AA1">
        <w:rPr>
          <w:rFonts w:ascii="Arial" w:hAnsi="Arial"/>
        </w:rPr>
        <w:t>Software exploit</w:t>
      </w:r>
      <w:r w:rsidR="00E33D05" w:rsidRPr="00122AA1">
        <w:rPr>
          <w:rFonts w:ascii="Arial" w:hAnsi="Arial"/>
        </w:rPr>
        <w:t>s</w:t>
      </w:r>
      <w:r w:rsidRPr="00122AA1">
        <w:rPr>
          <w:rFonts w:ascii="Arial" w:hAnsi="Arial"/>
        </w:rPr>
        <w:t xml:space="preserve"> device capabilities </w:t>
      </w:r>
      <w:r w:rsidR="00E33D05" w:rsidRPr="00122AA1">
        <w:rPr>
          <w:rFonts w:ascii="Arial" w:hAnsi="Arial"/>
        </w:rPr>
        <w:t>to c</w:t>
      </w:r>
      <w:r w:rsidRPr="00122AA1">
        <w:rPr>
          <w:rFonts w:ascii="Arial" w:hAnsi="Arial"/>
        </w:rPr>
        <w:t>aptur</w:t>
      </w:r>
      <w:r w:rsidR="00E33D05" w:rsidRPr="00122AA1">
        <w:rPr>
          <w:rFonts w:ascii="Arial" w:hAnsi="Arial"/>
        </w:rPr>
        <w:t>e</w:t>
      </w:r>
      <w:r w:rsidRPr="00122AA1">
        <w:rPr>
          <w:rFonts w:ascii="Arial" w:hAnsi="Arial"/>
        </w:rPr>
        <w:t xml:space="preserve"> a range of personal data</w:t>
      </w:r>
      <w:bookmarkEnd w:id="4"/>
    </w:p>
    <w:p w:rsidR="009F2122" w:rsidRPr="00122AA1" w:rsidRDefault="004A1FAC" w:rsidP="004A1FAC">
      <w:pPr>
        <w:rPr>
          <w:rFonts w:ascii="Arial" w:hAnsi="Arial" w:cs="Arial"/>
        </w:rPr>
      </w:pPr>
      <w:r w:rsidRPr="00122AA1">
        <w:rPr>
          <w:rFonts w:ascii="Arial" w:hAnsi="Arial" w:cs="Arial"/>
        </w:rPr>
        <w:t>Software, including device operating systems and applications, is at the heart of pers</w:t>
      </w:r>
      <w:r w:rsidR="00DA6CB7" w:rsidRPr="00122AA1">
        <w:rPr>
          <w:rFonts w:ascii="Arial" w:hAnsi="Arial" w:cs="Arial"/>
        </w:rPr>
        <w:t>onal data collection practices.</w:t>
      </w:r>
      <w:r w:rsidRPr="00122AA1">
        <w:rPr>
          <w:rFonts w:ascii="Arial" w:hAnsi="Arial" w:cs="Arial"/>
        </w:rPr>
        <w:t xml:space="preserve"> Significant amounts of personal information are collected as a result of citizens’ online interactions with applications</w:t>
      </w:r>
      <w:r w:rsidR="008C28A4" w:rsidRPr="00122AA1">
        <w:rPr>
          <w:rFonts w:ascii="Arial" w:hAnsi="Arial" w:cs="Arial"/>
        </w:rPr>
        <w:t>. These a range</w:t>
      </w:r>
      <w:r w:rsidRPr="00122AA1">
        <w:rPr>
          <w:rFonts w:ascii="Arial" w:hAnsi="Arial" w:cs="Arial"/>
        </w:rPr>
        <w:t xml:space="preserve"> from social networking sites</w:t>
      </w:r>
      <w:r w:rsidR="008C28A4" w:rsidRPr="00122AA1">
        <w:rPr>
          <w:rFonts w:ascii="Arial" w:hAnsi="Arial" w:cs="Arial"/>
        </w:rPr>
        <w:t>,</w:t>
      </w:r>
      <w:r w:rsidRPr="00122AA1">
        <w:rPr>
          <w:rFonts w:ascii="Arial" w:hAnsi="Arial" w:cs="Arial"/>
        </w:rPr>
        <w:t xml:space="preserve"> and other applications which run in browser interfaces</w:t>
      </w:r>
      <w:r w:rsidR="008C28A4" w:rsidRPr="00122AA1">
        <w:rPr>
          <w:rFonts w:ascii="Arial" w:hAnsi="Arial" w:cs="Arial"/>
        </w:rPr>
        <w:t>,</w:t>
      </w:r>
      <w:r w:rsidRPr="00122AA1">
        <w:rPr>
          <w:rFonts w:ascii="Arial" w:hAnsi="Arial" w:cs="Arial"/>
        </w:rPr>
        <w:t xml:space="preserve"> to the many ‘apps’ available for smartphon</w:t>
      </w:r>
      <w:r w:rsidR="00DA6CB7" w:rsidRPr="00122AA1">
        <w:rPr>
          <w:rFonts w:ascii="Arial" w:hAnsi="Arial" w:cs="Arial"/>
        </w:rPr>
        <w:t>es, tablets and other devices.</w:t>
      </w:r>
    </w:p>
    <w:p w:rsidR="009F2122" w:rsidRPr="00122AA1" w:rsidRDefault="009F2122" w:rsidP="004A1FAC">
      <w:pPr>
        <w:rPr>
          <w:rFonts w:ascii="Arial" w:hAnsi="Arial" w:cs="Arial"/>
        </w:rPr>
      </w:pPr>
    </w:p>
    <w:p w:rsidR="004A1FAC" w:rsidRPr="00122AA1" w:rsidRDefault="00C1274D" w:rsidP="004A1FAC">
      <w:pPr>
        <w:rPr>
          <w:rFonts w:ascii="Arial" w:hAnsi="Arial" w:cs="Arial"/>
        </w:rPr>
      </w:pPr>
      <w:r w:rsidRPr="00122AA1">
        <w:rPr>
          <w:rFonts w:ascii="Arial" w:hAnsi="Arial" w:cs="Arial"/>
        </w:rPr>
        <w:t>Online behaviour-</w:t>
      </w:r>
      <w:r w:rsidR="004A1FAC" w:rsidRPr="00122AA1">
        <w:rPr>
          <w:rFonts w:ascii="Arial" w:hAnsi="Arial" w:cs="Arial"/>
        </w:rPr>
        <w:t>tracking and analysis are also underpinned by software.</w:t>
      </w:r>
      <w:r w:rsidR="009F2122" w:rsidRPr="00122AA1">
        <w:rPr>
          <w:rFonts w:ascii="Arial" w:hAnsi="Arial" w:cs="Arial"/>
        </w:rPr>
        <w:t xml:space="preserve"> </w:t>
      </w:r>
      <w:r w:rsidR="004A1FAC" w:rsidRPr="00122AA1">
        <w:rPr>
          <w:rFonts w:ascii="Arial" w:hAnsi="Arial" w:cs="Arial"/>
        </w:rPr>
        <w:t>Use of website ‘cookies’ to track</w:t>
      </w:r>
      <w:r w:rsidR="00E06A34" w:rsidRPr="00122AA1">
        <w:rPr>
          <w:rFonts w:ascii="Arial" w:hAnsi="Arial" w:cs="Arial"/>
        </w:rPr>
        <w:t xml:space="preserve"> consumers’ online activities—</w:t>
      </w:r>
      <w:r w:rsidR="004A1FAC" w:rsidRPr="00122AA1">
        <w:rPr>
          <w:rFonts w:ascii="Arial" w:hAnsi="Arial" w:cs="Arial"/>
        </w:rPr>
        <w:t>and the use of this information t</w:t>
      </w:r>
      <w:r w:rsidR="00E06A34" w:rsidRPr="00122AA1">
        <w:rPr>
          <w:rFonts w:ascii="Arial" w:hAnsi="Arial" w:cs="Arial"/>
        </w:rPr>
        <w:t>o inform marketing activities—</w:t>
      </w:r>
      <w:r w:rsidR="004A1FAC" w:rsidRPr="00122AA1">
        <w:rPr>
          <w:rFonts w:ascii="Arial" w:hAnsi="Arial" w:cs="Arial"/>
        </w:rPr>
        <w:t>are giving rise to demands from citizens for ‘do not track’ tools and measures.</w:t>
      </w:r>
    </w:p>
    <w:p w:rsidR="004A1FAC" w:rsidRPr="00122AA1" w:rsidRDefault="004A1FAC" w:rsidP="004A1FAC">
      <w:pPr>
        <w:spacing w:after="80"/>
        <w:rPr>
          <w:rFonts w:ascii="Arial" w:hAnsi="Arial" w:cs="Arial"/>
        </w:rPr>
      </w:pPr>
    </w:p>
    <w:p w:rsidR="00483A93" w:rsidRPr="00122AA1" w:rsidRDefault="00FA0DEA" w:rsidP="004A1FAC">
      <w:pPr>
        <w:spacing w:after="80"/>
        <w:rPr>
          <w:rFonts w:ascii="Arial" w:hAnsi="Arial" w:cs="Arial"/>
        </w:rPr>
      </w:pPr>
      <w:r w:rsidRPr="00122AA1">
        <w:rPr>
          <w:rFonts w:ascii="Arial" w:hAnsi="Arial" w:cs="Arial"/>
        </w:rPr>
        <w:t>Growth in the t</w:t>
      </w:r>
      <w:r w:rsidR="004A1FAC" w:rsidRPr="00122AA1">
        <w:rPr>
          <w:rFonts w:ascii="Arial" w:hAnsi="Arial" w:cs="Arial"/>
        </w:rPr>
        <w:t xml:space="preserve">ake-up of mobile apps is having a significant impact on the amount of personal data </w:t>
      </w:r>
      <w:r w:rsidRPr="00122AA1">
        <w:rPr>
          <w:rFonts w:ascii="Arial" w:hAnsi="Arial" w:cs="Arial"/>
        </w:rPr>
        <w:t xml:space="preserve">created and </w:t>
      </w:r>
      <w:r w:rsidR="00DA6CB7" w:rsidRPr="00122AA1">
        <w:rPr>
          <w:rFonts w:ascii="Arial" w:hAnsi="Arial" w:cs="Arial"/>
        </w:rPr>
        <w:t>captured.</w:t>
      </w:r>
      <w:r w:rsidR="004A1FAC" w:rsidRPr="00122AA1">
        <w:rPr>
          <w:rFonts w:ascii="Arial" w:hAnsi="Arial" w:cs="Arial"/>
        </w:rPr>
        <w:t xml:space="preserve"> </w:t>
      </w:r>
      <w:r w:rsidR="00EA0914" w:rsidRPr="00122AA1">
        <w:rPr>
          <w:rFonts w:ascii="Arial" w:hAnsi="Arial" w:cs="Arial"/>
        </w:rPr>
        <w:t>V</w:t>
      </w:r>
      <w:r w:rsidR="004A1FAC" w:rsidRPr="00122AA1">
        <w:rPr>
          <w:rFonts w:ascii="Arial" w:hAnsi="Arial" w:cs="Arial"/>
        </w:rPr>
        <w:t>ideo content accounts for the majority of mobile data traffic</w:t>
      </w:r>
      <w:r w:rsidR="00EA0914" w:rsidRPr="00122AA1">
        <w:rPr>
          <w:rFonts w:ascii="Arial" w:hAnsi="Arial" w:cs="Arial"/>
        </w:rPr>
        <w:t>. However</w:t>
      </w:r>
      <w:r w:rsidR="004A1FAC" w:rsidRPr="00122AA1">
        <w:rPr>
          <w:rFonts w:ascii="Arial" w:hAnsi="Arial" w:cs="Arial"/>
        </w:rPr>
        <w:t>, social networking and picture messaging via mobile device apps are expected to be significant contributors to the doubling of mobile data traffic each year over the next five years.</w:t>
      </w:r>
      <w:r w:rsidR="004A1FAC" w:rsidRPr="00122AA1">
        <w:rPr>
          <w:rStyle w:val="FootnoteReference"/>
          <w:rFonts w:cs="Arial"/>
        </w:rPr>
        <w:footnoteReference w:id="7"/>
      </w:r>
      <w:r w:rsidR="004A1FAC" w:rsidRPr="00122AA1">
        <w:rPr>
          <w:rFonts w:ascii="Arial" w:hAnsi="Arial" w:cs="Arial"/>
        </w:rPr>
        <w:t xml:space="preserve"> </w:t>
      </w:r>
      <w:r w:rsidR="006A60F9" w:rsidRPr="00122AA1">
        <w:rPr>
          <w:rFonts w:ascii="Arial" w:hAnsi="Arial" w:cs="Arial"/>
        </w:rPr>
        <w:t>Whereas consumption of media on traditional platforms is largely anonymous, online content consumption is associated with the collection of a range of personal and behavioural data.</w:t>
      </w:r>
    </w:p>
    <w:p w:rsidR="00483A93" w:rsidRPr="00122AA1" w:rsidRDefault="00483A93" w:rsidP="004A1FAC">
      <w:pPr>
        <w:spacing w:after="80"/>
        <w:rPr>
          <w:rFonts w:ascii="Arial" w:hAnsi="Arial" w:cs="Arial"/>
        </w:rPr>
      </w:pPr>
    </w:p>
    <w:p w:rsidR="004A1FAC" w:rsidRPr="00122AA1" w:rsidRDefault="00FA0DEA" w:rsidP="004A1FAC">
      <w:pPr>
        <w:spacing w:after="80"/>
        <w:rPr>
          <w:rFonts w:ascii="Arial" w:hAnsi="Arial" w:cs="Arial"/>
        </w:rPr>
      </w:pPr>
      <w:r w:rsidRPr="00122AA1">
        <w:rPr>
          <w:rFonts w:ascii="Arial" w:hAnsi="Arial" w:cs="Arial"/>
        </w:rPr>
        <w:t>D</w:t>
      </w:r>
      <w:r w:rsidR="004A1FAC" w:rsidRPr="00122AA1">
        <w:rPr>
          <w:rFonts w:ascii="Arial" w:hAnsi="Arial" w:cs="Arial"/>
        </w:rPr>
        <w:t xml:space="preserve">ata </w:t>
      </w:r>
      <w:r w:rsidRPr="00122AA1">
        <w:rPr>
          <w:rFonts w:ascii="Arial" w:hAnsi="Arial" w:cs="Arial"/>
        </w:rPr>
        <w:t xml:space="preserve">collection and </w:t>
      </w:r>
      <w:r w:rsidR="004A1FAC" w:rsidRPr="00122AA1">
        <w:rPr>
          <w:rFonts w:ascii="Arial" w:hAnsi="Arial" w:cs="Arial"/>
        </w:rPr>
        <w:t xml:space="preserve">usage practices </w:t>
      </w:r>
      <w:r w:rsidRPr="00122AA1">
        <w:rPr>
          <w:rFonts w:ascii="Arial" w:hAnsi="Arial" w:cs="Arial"/>
        </w:rPr>
        <w:t>are evolving</w:t>
      </w:r>
      <w:r w:rsidR="00C1274D" w:rsidRPr="00122AA1">
        <w:rPr>
          <w:rFonts w:ascii="Arial" w:hAnsi="Arial" w:cs="Arial"/>
        </w:rPr>
        <w:t>,</w:t>
      </w:r>
      <w:r w:rsidRPr="00122AA1">
        <w:rPr>
          <w:rFonts w:ascii="Arial" w:hAnsi="Arial" w:cs="Arial"/>
        </w:rPr>
        <w:t xml:space="preserve"> </w:t>
      </w:r>
      <w:r w:rsidR="006F4E60" w:rsidRPr="00122AA1">
        <w:rPr>
          <w:rFonts w:ascii="Arial" w:hAnsi="Arial" w:cs="Arial"/>
        </w:rPr>
        <w:t xml:space="preserve">with apps used in a number of these practices. </w:t>
      </w:r>
      <w:r w:rsidR="004A1FAC" w:rsidRPr="00122AA1">
        <w:rPr>
          <w:rFonts w:ascii="Arial" w:hAnsi="Arial" w:cs="Arial"/>
        </w:rPr>
        <w:t>For example:</w:t>
      </w:r>
    </w:p>
    <w:p w:rsidR="004A1FAC" w:rsidRPr="00122AA1" w:rsidRDefault="008C28A4" w:rsidP="004A1FAC">
      <w:pPr>
        <w:pStyle w:val="ListBullet"/>
        <w:tabs>
          <w:tab w:val="clear" w:pos="295"/>
          <w:tab w:val="num" w:pos="-124"/>
          <w:tab w:val="num" w:pos="717"/>
        </w:tabs>
        <w:rPr>
          <w:rFonts w:ascii="Arial" w:hAnsi="Arial" w:cs="Arial"/>
        </w:rPr>
      </w:pPr>
      <w:r w:rsidRPr="00122AA1">
        <w:rPr>
          <w:rFonts w:ascii="Arial" w:hAnsi="Arial" w:cs="Arial"/>
        </w:rPr>
        <w:t>c</w:t>
      </w:r>
      <w:r w:rsidR="004A1FAC" w:rsidRPr="00122AA1">
        <w:rPr>
          <w:rFonts w:ascii="Arial" w:hAnsi="Arial" w:cs="Arial"/>
        </w:rPr>
        <w:t>itizens are voluntarily sharing significant amounts of information about themselves and their activities through social networking apps</w:t>
      </w:r>
    </w:p>
    <w:p w:rsidR="004A1FAC" w:rsidRPr="00122AA1" w:rsidRDefault="008C28A4" w:rsidP="004A1FAC">
      <w:pPr>
        <w:pStyle w:val="ListBullet"/>
        <w:tabs>
          <w:tab w:val="clear" w:pos="295"/>
          <w:tab w:val="num" w:pos="-124"/>
          <w:tab w:val="num" w:pos="717"/>
        </w:tabs>
        <w:rPr>
          <w:rFonts w:ascii="Arial" w:hAnsi="Arial" w:cs="Arial"/>
        </w:rPr>
      </w:pPr>
      <w:r w:rsidRPr="00122AA1">
        <w:rPr>
          <w:rFonts w:ascii="Arial" w:hAnsi="Arial" w:cs="Arial"/>
        </w:rPr>
        <w:t>m</w:t>
      </w:r>
      <w:r w:rsidR="004A1FAC" w:rsidRPr="00122AA1">
        <w:rPr>
          <w:rFonts w:ascii="Arial" w:hAnsi="Arial" w:cs="Arial"/>
        </w:rPr>
        <w:t>any apps facilitate storage of personal data on cloud computing services</w:t>
      </w:r>
    </w:p>
    <w:p w:rsidR="004A1FAC" w:rsidRPr="00122AA1" w:rsidRDefault="008C28A4" w:rsidP="004A1FAC">
      <w:pPr>
        <w:pStyle w:val="ListBullet"/>
        <w:tabs>
          <w:tab w:val="clear" w:pos="295"/>
          <w:tab w:val="num" w:pos="-124"/>
          <w:tab w:val="num" w:pos="717"/>
        </w:tabs>
        <w:rPr>
          <w:rFonts w:ascii="Arial" w:hAnsi="Arial" w:cs="Arial"/>
        </w:rPr>
      </w:pPr>
      <w:r w:rsidRPr="00122AA1">
        <w:rPr>
          <w:rFonts w:ascii="Arial" w:hAnsi="Arial" w:cs="Arial"/>
        </w:rPr>
        <w:t>b</w:t>
      </w:r>
      <w:r w:rsidR="004A1FAC" w:rsidRPr="00122AA1">
        <w:rPr>
          <w:rFonts w:ascii="Arial" w:hAnsi="Arial" w:cs="Arial"/>
        </w:rPr>
        <w:t xml:space="preserve">ehavioural data recorded by browser, social networking and multimedia apps, is being commercially exploited and traded for marketing purposes </w:t>
      </w:r>
    </w:p>
    <w:p w:rsidR="00483A93" w:rsidRPr="00122AA1" w:rsidRDefault="008C28A4" w:rsidP="00483A93">
      <w:pPr>
        <w:pStyle w:val="ListBullet"/>
        <w:tabs>
          <w:tab w:val="clear" w:pos="295"/>
          <w:tab w:val="num" w:pos="-124"/>
          <w:tab w:val="num" w:pos="717"/>
        </w:tabs>
        <w:rPr>
          <w:rFonts w:ascii="Arial" w:hAnsi="Arial" w:cs="Arial"/>
        </w:rPr>
      </w:pPr>
      <w:r w:rsidRPr="00122AA1">
        <w:rPr>
          <w:rFonts w:ascii="Arial" w:hAnsi="Arial" w:cs="Arial"/>
        </w:rPr>
        <w:t>a</w:t>
      </w:r>
      <w:r w:rsidR="004A1FAC" w:rsidRPr="00122AA1">
        <w:rPr>
          <w:rFonts w:ascii="Arial" w:hAnsi="Arial" w:cs="Arial"/>
        </w:rPr>
        <w:t xml:space="preserve"> number of apps have been found to be vectors for malware that targets personal information for use in cybercrime and other malicious activity. </w:t>
      </w:r>
    </w:p>
    <w:p w:rsidR="004B1953" w:rsidRPr="00122AA1" w:rsidRDefault="004B1953">
      <w:pPr>
        <w:pStyle w:val="ListBullet"/>
        <w:numPr>
          <w:ilvl w:val="0"/>
          <w:numId w:val="0"/>
        </w:numPr>
        <w:tabs>
          <w:tab w:val="num" w:pos="717"/>
        </w:tabs>
        <w:rPr>
          <w:rFonts w:ascii="Arial" w:hAnsi="Arial" w:cs="Arial"/>
        </w:rPr>
      </w:pPr>
    </w:p>
    <w:tbl>
      <w:tblPr>
        <w:tblW w:w="9645" w:type="dxa"/>
        <w:tblLayout w:type="fixed"/>
        <w:tblCellMar>
          <w:left w:w="0" w:type="dxa"/>
          <w:right w:w="0" w:type="dxa"/>
        </w:tblCellMar>
        <w:tblLook w:val="01E0"/>
      </w:tblPr>
      <w:tblGrid>
        <w:gridCol w:w="9645"/>
      </w:tblGrid>
      <w:tr w:rsidR="006E4320" w:rsidRPr="00122AA1">
        <w:trPr>
          <w:trHeight w:val="570"/>
        </w:trPr>
        <w:tc>
          <w:tcPr>
            <w:tcW w:w="9645" w:type="dxa"/>
            <w:tcBorders>
              <w:top w:val="single" w:sz="2" w:space="0" w:color="505050"/>
            </w:tcBorders>
            <w:shd w:val="clear" w:color="auto" w:fill="auto"/>
            <w:vAlign w:val="center"/>
          </w:tcPr>
          <w:p w:rsidR="006E4320" w:rsidRPr="00122AA1" w:rsidRDefault="006E4320" w:rsidP="000162EB">
            <w:pPr>
              <w:pStyle w:val="Caption"/>
              <w:keepNext/>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3</w:t>
            </w:r>
            <w:r w:rsidR="00302C7D" w:rsidRPr="00122AA1">
              <w:rPr>
                <w:rFonts w:ascii="Arial" w:hAnsi="Arial" w:cs="Arial"/>
              </w:rPr>
              <w:fldChar w:fldCharType="end"/>
            </w:r>
            <w:r w:rsidRPr="00122AA1">
              <w:rPr>
                <w:rFonts w:ascii="Arial" w:hAnsi="Arial" w:cs="Arial"/>
              </w:rPr>
              <w:t xml:space="preserve"> Apps and privacy issues</w:t>
            </w:r>
          </w:p>
        </w:tc>
      </w:tr>
      <w:tr w:rsidR="006E4320" w:rsidRPr="00122AA1">
        <w:trPr>
          <w:trHeight w:val="3086"/>
        </w:trPr>
        <w:tc>
          <w:tcPr>
            <w:tcW w:w="9645" w:type="dxa"/>
            <w:shd w:val="clear" w:color="auto" w:fill="auto"/>
            <w:tcMar>
              <w:left w:w="28" w:type="dxa"/>
            </w:tcMar>
          </w:tcPr>
          <w:p w:rsidR="006E4320" w:rsidRPr="00122AA1" w:rsidRDefault="000162EB">
            <w:pPr>
              <w:rPr>
                <w:rFonts w:ascii="Arial" w:hAnsi="Arial" w:cs="Arial"/>
              </w:rPr>
            </w:pPr>
            <w:r w:rsidRPr="00122AA1">
              <w:rPr>
                <w:rFonts w:ascii="Arial" w:hAnsi="Arial" w:cs="Arial"/>
                <w:noProof/>
              </w:rPr>
              <w:drawing>
                <wp:inline distT="0" distB="0" distL="0" distR="0">
                  <wp:extent cx="3260090" cy="323596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3260090" cy="3235960"/>
                          </a:xfrm>
                          <a:prstGeom prst="rect">
                            <a:avLst/>
                          </a:prstGeom>
                          <a:noFill/>
                          <a:ln w="9525">
                            <a:noFill/>
                            <a:miter lim="800000"/>
                            <a:headEnd/>
                            <a:tailEnd/>
                          </a:ln>
                        </pic:spPr>
                      </pic:pic>
                    </a:graphicData>
                  </a:graphic>
                </wp:inline>
              </w:drawing>
            </w:r>
          </w:p>
        </w:tc>
      </w:tr>
      <w:tr w:rsidR="006E4320" w:rsidRPr="00122AA1">
        <w:trPr>
          <w:trHeight w:val="291"/>
        </w:trPr>
        <w:tc>
          <w:tcPr>
            <w:tcW w:w="9645" w:type="dxa"/>
            <w:tcBorders>
              <w:bottom w:val="single" w:sz="2" w:space="0" w:color="505050"/>
            </w:tcBorders>
            <w:shd w:val="clear" w:color="auto" w:fill="auto"/>
          </w:tcPr>
          <w:p w:rsidR="006E4320" w:rsidRPr="00122AA1" w:rsidRDefault="000162EB">
            <w:pPr>
              <w:rPr>
                <w:rFonts w:ascii="Arial" w:hAnsi="Arial" w:cs="Arial"/>
              </w:rPr>
            </w:pPr>
            <w:r w:rsidRPr="00122AA1">
              <w:rPr>
                <w:rFonts w:ascii="Arial" w:hAnsi="Arial" w:cs="Arial"/>
                <w:i/>
                <w:sz w:val="16"/>
                <w:szCs w:val="16"/>
              </w:rPr>
              <w:t>Source: Juniper Networks.</w:t>
            </w:r>
            <w:r w:rsidRPr="00122AA1">
              <w:rPr>
                <w:rStyle w:val="FootnoteReference"/>
                <w:rFonts w:cs="Arial"/>
                <w:i/>
                <w:sz w:val="16"/>
                <w:szCs w:val="16"/>
              </w:rPr>
              <w:footnoteReference w:id="8"/>
            </w:r>
          </w:p>
        </w:tc>
      </w:tr>
    </w:tbl>
    <w:p w:rsidR="006E4320" w:rsidRPr="00122AA1" w:rsidRDefault="006E4320" w:rsidP="006E4320">
      <w:pPr>
        <w:rPr>
          <w:rFonts w:ascii="Arial" w:hAnsi="Arial" w:cs="Arial"/>
        </w:rPr>
      </w:pPr>
    </w:p>
    <w:p w:rsidR="004A1FAC" w:rsidRPr="00122AA1" w:rsidRDefault="004A1FAC" w:rsidP="004A1FAC">
      <w:pPr>
        <w:pStyle w:val="ListBullet"/>
        <w:numPr>
          <w:ilvl w:val="0"/>
          <w:numId w:val="0"/>
        </w:numPr>
        <w:tabs>
          <w:tab w:val="num" w:pos="717"/>
        </w:tabs>
        <w:rPr>
          <w:rFonts w:ascii="Arial" w:hAnsi="Arial" w:cs="Arial"/>
        </w:rPr>
      </w:pPr>
      <w:r w:rsidRPr="00122AA1">
        <w:rPr>
          <w:rFonts w:ascii="Arial" w:hAnsi="Arial" w:cs="Arial"/>
        </w:rPr>
        <w:t xml:space="preserve">The impact of mobile device apps on privacy and personal data is discussed in further detail in the separate </w:t>
      </w:r>
      <w:r w:rsidR="00E06A34" w:rsidRPr="00122AA1">
        <w:rPr>
          <w:rFonts w:ascii="Arial" w:hAnsi="Arial" w:cs="Arial"/>
        </w:rPr>
        <w:t xml:space="preserve">paper, </w:t>
      </w:r>
      <w:hyperlink r:id="rId24" w:history="1">
        <w:r w:rsidR="00E06A34" w:rsidRPr="00122AA1">
          <w:rPr>
            <w:rStyle w:val="Hyperlink"/>
            <w:rFonts w:ascii="Arial" w:hAnsi="Arial" w:cs="Arial"/>
            <w:i/>
          </w:rPr>
          <w:t>Mobile applications—</w:t>
        </w:r>
        <w:r w:rsidRPr="00122AA1">
          <w:rPr>
            <w:rStyle w:val="Hyperlink"/>
            <w:rFonts w:ascii="Arial" w:hAnsi="Arial" w:cs="Arial"/>
            <w:i/>
          </w:rPr>
          <w:t>Emerging issues in media and communications</w:t>
        </w:r>
        <w:r w:rsidR="00E06A34" w:rsidRPr="00122AA1">
          <w:rPr>
            <w:rStyle w:val="Hyperlink"/>
            <w:rFonts w:ascii="Arial" w:hAnsi="Arial" w:cs="Arial"/>
          </w:rPr>
          <w:t xml:space="preserve">, </w:t>
        </w:r>
        <w:r w:rsidR="00E06A34" w:rsidRPr="00122AA1">
          <w:rPr>
            <w:rStyle w:val="Hyperlink"/>
            <w:rFonts w:ascii="Arial" w:hAnsi="Arial" w:cs="Arial"/>
            <w:i/>
          </w:rPr>
          <w:t>Occasional paper 1</w:t>
        </w:r>
      </w:hyperlink>
      <w:r w:rsidR="006E4320" w:rsidRPr="00122AA1">
        <w:rPr>
          <w:rFonts w:ascii="Arial" w:hAnsi="Arial" w:cs="Arial"/>
          <w:i/>
        </w:rPr>
        <w:t>.</w:t>
      </w:r>
    </w:p>
    <w:p w:rsidR="00380415" w:rsidRPr="00122AA1" w:rsidRDefault="00380415">
      <w:pPr>
        <w:rPr>
          <w:rFonts w:ascii="Arial" w:hAnsi="Arial" w:cs="Arial"/>
        </w:rPr>
      </w:pPr>
    </w:p>
    <w:p w:rsidR="00A02CF1" w:rsidRPr="00122AA1" w:rsidRDefault="004A1FAC">
      <w:pPr>
        <w:pStyle w:val="Heading2"/>
        <w:rPr>
          <w:rFonts w:ascii="Arial" w:hAnsi="Arial"/>
        </w:rPr>
      </w:pPr>
      <w:bookmarkStart w:id="5" w:name="_Toc359574749"/>
      <w:r w:rsidRPr="00122AA1">
        <w:rPr>
          <w:rFonts w:ascii="Arial" w:hAnsi="Arial"/>
        </w:rPr>
        <w:t xml:space="preserve">Advances in network coverage and capacity </w:t>
      </w:r>
      <w:r w:rsidR="00E33D05" w:rsidRPr="00122AA1">
        <w:rPr>
          <w:rFonts w:ascii="Arial" w:hAnsi="Arial"/>
        </w:rPr>
        <w:t xml:space="preserve">aid personal data </w:t>
      </w:r>
      <w:r w:rsidRPr="00122AA1">
        <w:rPr>
          <w:rFonts w:ascii="Arial" w:hAnsi="Arial"/>
        </w:rPr>
        <w:t>collection and storage</w:t>
      </w:r>
      <w:bookmarkEnd w:id="5"/>
      <w:r w:rsidRPr="00122AA1">
        <w:rPr>
          <w:rFonts w:ascii="Arial" w:hAnsi="Arial"/>
        </w:rPr>
        <w:t xml:space="preserve"> </w:t>
      </w:r>
    </w:p>
    <w:p w:rsidR="004A1FAC" w:rsidRPr="00122AA1" w:rsidRDefault="001013B6" w:rsidP="004A1FAC">
      <w:pPr>
        <w:rPr>
          <w:rFonts w:ascii="Arial" w:hAnsi="Arial" w:cs="Arial"/>
        </w:rPr>
      </w:pPr>
      <w:r w:rsidRPr="00122AA1">
        <w:rPr>
          <w:rFonts w:ascii="Arial" w:hAnsi="Arial" w:cs="Arial"/>
        </w:rPr>
        <w:t>H</w:t>
      </w:r>
      <w:r w:rsidR="004A1FAC" w:rsidRPr="00122AA1">
        <w:rPr>
          <w:rFonts w:ascii="Arial" w:hAnsi="Arial" w:cs="Arial"/>
        </w:rPr>
        <w:t>igh</w:t>
      </w:r>
      <w:r w:rsidR="00E84640" w:rsidRPr="00122AA1">
        <w:rPr>
          <w:rFonts w:ascii="Arial" w:hAnsi="Arial" w:cs="Arial"/>
        </w:rPr>
        <w:t>-</w:t>
      </w:r>
      <w:r w:rsidR="004A1FAC" w:rsidRPr="00122AA1">
        <w:rPr>
          <w:rFonts w:ascii="Arial" w:hAnsi="Arial" w:cs="Arial"/>
        </w:rPr>
        <w:t xml:space="preserve">capacity fixed and mobile networks enable near continuous collection and transmission </w:t>
      </w:r>
      <w:r w:rsidR="00DA6CB7" w:rsidRPr="00122AA1">
        <w:rPr>
          <w:rFonts w:ascii="Arial" w:hAnsi="Arial" w:cs="Arial"/>
        </w:rPr>
        <w:t>of data from connected devices.</w:t>
      </w:r>
      <w:r w:rsidR="004A1FAC" w:rsidRPr="00122AA1">
        <w:rPr>
          <w:rFonts w:ascii="Arial" w:hAnsi="Arial" w:cs="Arial"/>
        </w:rPr>
        <w:t xml:space="preserve"> They also facilitate remote access to data and applications provided by cloud computing services.</w:t>
      </w:r>
    </w:p>
    <w:p w:rsidR="00D2129F" w:rsidRPr="00122AA1" w:rsidRDefault="00D2129F" w:rsidP="004A1FAC">
      <w:pPr>
        <w:rPr>
          <w:rFonts w:ascii="Arial" w:hAnsi="Arial" w:cs="Arial"/>
        </w:rPr>
      </w:pPr>
    </w:p>
    <w:p w:rsidR="004A1FAC" w:rsidRPr="00122AA1" w:rsidRDefault="00EA0914" w:rsidP="004A1FAC">
      <w:pPr>
        <w:rPr>
          <w:rFonts w:ascii="Arial" w:hAnsi="Arial" w:cs="Arial"/>
        </w:rPr>
      </w:pPr>
      <w:r w:rsidRPr="00122AA1">
        <w:rPr>
          <w:rFonts w:ascii="Arial" w:hAnsi="Arial" w:cs="Arial"/>
        </w:rPr>
        <w:t xml:space="preserve">The capacity for remote storage and access to data is a fundamental characteristic of the online environment. </w:t>
      </w:r>
      <w:r w:rsidR="006F4E60" w:rsidRPr="00122AA1">
        <w:rPr>
          <w:rFonts w:ascii="Arial" w:hAnsi="Arial" w:cs="Arial"/>
        </w:rPr>
        <w:t>A</w:t>
      </w:r>
      <w:r w:rsidRPr="00122AA1">
        <w:rPr>
          <w:rFonts w:ascii="Arial" w:hAnsi="Arial" w:cs="Arial"/>
        </w:rPr>
        <w:t xml:space="preserve">dvances in storage and networking technologies </w:t>
      </w:r>
      <w:r w:rsidR="006F4E60" w:rsidRPr="00122AA1">
        <w:rPr>
          <w:rFonts w:ascii="Arial" w:hAnsi="Arial" w:cs="Arial"/>
        </w:rPr>
        <w:t xml:space="preserve">now </w:t>
      </w:r>
      <w:r w:rsidRPr="00122AA1">
        <w:rPr>
          <w:rFonts w:ascii="Arial" w:hAnsi="Arial" w:cs="Arial"/>
        </w:rPr>
        <w:t>allow management of a broader range of data</w:t>
      </w:r>
      <w:r w:rsidR="006F4E60" w:rsidRPr="00122AA1">
        <w:rPr>
          <w:rFonts w:ascii="Arial" w:hAnsi="Arial" w:cs="Arial"/>
        </w:rPr>
        <w:t>, including the outsourcing of data management</w:t>
      </w:r>
      <w:r w:rsidRPr="00122AA1">
        <w:rPr>
          <w:rFonts w:ascii="Arial" w:hAnsi="Arial" w:cs="Arial"/>
        </w:rPr>
        <w:t xml:space="preserve">. Organisations can potentially achieve significant efficiencies by using </w:t>
      </w:r>
      <w:r w:rsidR="006F4E60" w:rsidRPr="00122AA1">
        <w:rPr>
          <w:rFonts w:ascii="Arial" w:hAnsi="Arial" w:cs="Arial"/>
        </w:rPr>
        <w:t>data management services</w:t>
      </w:r>
      <w:r w:rsidR="00814414" w:rsidRPr="00122AA1">
        <w:rPr>
          <w:rFonts w:ascii="Arial" w:hAnsi="Arial" w:cs="Arial"/>
        </w:rPr>
        <w:t>,</w:t>
      </w:r>
      <w:r w:rsidR="006F4E60" w:rsidRPr="00122AA1">
        <w:rPr>
          <w:rFonts w:ascii="Arial" w:hAnsi="Arial" w:cs="Arial"/>
        </w:rPr>
        <w:t xml:space="preserve"> such as </w:t>
      </w:r>
      <w:r w:rsidRPr="00122AA1">
        <w:rPr>
          <w:rFonts w:ascii="Arial" w:hAnsi="Arial" w:cs="Arial"/>
        </w:rPr>
        <w:t>cloud computing</w:t>
      </w:r>
      <w:r w:rsidR="006F4E60" w:rsidRPr="00122AA1">
        <w:rPr>
          <w:rFonts w:ascii="Arial" w:hAnsi="Arial" w:cs="Arial"/>
        </w:rPr>
        <w:t xml:space="preserve">. </w:t>
      </w:r>
      <w:r w:rsidRPr="00122AA1">
        <w:rPr>
          <w:rFonts w:ascii="Arial" w:hAnsi="Arial" w:cs="Arial"/>
        </w:rPr>
        <w:t>However, the outsourcing of personal data management activities gives rise to questions about how responsibilities for protection of data are assigned, including applicable personal information protections</w:t>
      </w:r>
      <w:r w:rsidR="00814414" w:rsidRPr="00122AA1">
        <w:rPr>
          <w:rFonts w:ascii="Arial" w:hAnsi="Arial" w:cs="Arial"/>
        </w:rPr>
        <w:t>,</w:t>
      </w:r>
      <w:r w:rsidRPr="00122AA1">
        <w:rPr>
          <w:rFonts w:ascii="Arial" w:hAnsi="Arial" w:cs="Arial"/>
        </w:rPr>
        <w:t xml:space="preserve"> when cloud services are located in other jurisdictions</w:t>
      </w:r>
      <w:r w:rsidR="004A1FAC" w:rsidRPr="00122AA1">
        <w:rPr>
          <w:rFonts w:ascii="Arial" w:hAnsi="Arial" w:cs="Arial"/>
        </w:rPr>
        <w:t>.</w:t>
      </w:r>
      <w:r w:rsidR="004A1FAC" w:rsidRPr="00122AA1">
        <w:rPr>
          <w:rStyle w:val="FootnoteReference"/>
          <w:rFonts w:cs="Arial"/>
        </w:rPr>
        <w:footnoteReference w:id="9"/>
      </w:r>
    </w:p>
    <w:p w:rsidR="004A1FAC" w:rsidRPr="00122AA1" w:rsidRDefault="004A1FAC" w:rsidP="004A1FAC">
      <w:pPr>
        <w:rPr>
          <w:rFonts w:ascii="Arial" w:hAnsi="Arial" w:cs="Arial"/>
        </w:rPr>
      </w:pPr>
    </w:p>
    <w:p w:rsidR="00A02CF1" w:rsidRPr="00122AA1" w:rsidRDefault="004A1FAC">
      <w:pPr>
        <w:pStyle w:val="Heading2"/>
        <w:rPr>
          <w:rFonts w:ascii="Arial" w:hAnsi="Arial"/>
        </w:rPr>
      </w:pPr>
      <w:bookmarkStart w:id="6" w:name="_Toc359574750"/>
      <w:r w:rsidRPr="00122AA1">
        <w:rPr>
          <w:rFonts w:ascii="Arial" w:hAnsi="Arial"/>
        </w:rPr>
        <w:t>Data collection and analytics processes</w:t>
      </w:r>
      <w:bookmarkEnd w:id="6"/>
    </w:p>
    <w:p w:rsidR="00A807ED" w:rsidRPr="00122AA1" w:rsidRDefault="004A1FAC" w:rsidP="004A1FAC">
      <w:pPr>
        <w:pStyle w:val="ListBullet"/>
        <w:numPr>
          <w:ilvl w:val="0"/>
          <w:numId w:val="0"/>
        </w:numPr>
        <w:rPr>
          <w:rFonts w:ascii="Arial" w:hAnsi="Arial" w:cs="Arial"/>
        </w:rPr>
      </w:pPr>
      <w:r w:rsidRPr="00122AA1">
        <w:rPr>
          <w:rFonts w:ascii="Arial" w:hAnsi="Arial" w:cs="Arial"/>
        </w:rPr>
        <w:t>A growing demand for information about citizen and consumer behaviour is driving the development of new approaches to the collection and analysis of personal information</w:t>
      </w:r>
      <w:r w:rsidR="00CE6D2E" w:rsidRPr="00122AA1">
        <w:rPr>
          <w:rFonts w:ascii="Arial" w:hAnsi="Arial" w:cs="Arial"/>
        </w:rPr>
        <w:t>, using</w:t>
      </w:r>
      <w:r w:rsidR="00A807ED" w:rsidRPr="00122AA1">
        <w:rPr>
          <w:rFonts w:ascii="Arial" w:hAnsi="Arial" w:cs="Arial"/>
        </w:rPr>
        <w:t>,</w:t>
      </w:r>
      <w:r w:rsidR="00CE6D2E" w:rsidRPr="00122AA1">
        <w:rPr>
          <w:rFonts w:ascii="Arial" w:hAnsi="Arial" w:cs="Arial"/>
        </w:rPr>
        <w:t xml:space="preserve"> for example</w:t>
      </w:r>
      <w:r w:rsidR="00A807ED" w:rsidRPr="00122AA1">
        <w:rPr>
          <w:rFonts w:ascii="Arial" w:hAnsi="Arial" w:cs="Arial"/>
        </w:rPr>
        <w:t>,</w:t>
      </w:r>
      <w:r w:rsidR="00CE6D2E" w:rsidRPr="00122AA1">
        <w:rPr>
          <w:rFonts w:ascii="Arial" w:hAnsi="Arial" w:cs="Arial"/>
        </w:rPr>
        <w:t xml:space="preserve"> web analytics, record exchanges and business intelligence systems</w:t>
      </w:r>
      <w:r w:rsidR="00380415" w:rsidRPr="00122AA1">
        <w:rPr>
          <w:rFonts w:ascii="Arial" w:hAnsi="Arial" w:cs="Arial"/>
        </w:rPr>
        <w:t xml:space="preserve"> (see Figure 4)</w:t>
      </w:r>
      <w:r w:rsidR="00DA6CB7" w:rsidRPr="00122AA1">
        <w:rPr>
          <w:rFonts w:ascii="Arial" w:hAnsi="Arial" w:cs="Arial"/>
        </w:rPr>
        <w:t>.</w:t>
      </w:r>
    </w:p>
    <w:tbl>
      <w:tblPr>
        <w:tblW w:w="9645" w:type="dxa"/>
        <w:tblLayout w:type="fixed"/>
        <w:tblCellMar>
          <w:left w:w="0" w:type="dxa"/>
          <w:right w:w="0" w:type="dxa"/>
        </w:tblCellMar>
        <w:tblLook w:val="01E0"/>
      </w:tblPr>
      <w:tblGrid>
        <w:gridCol w:w="9645"/>
      </w:tblGrid>
      <w:tr w:rsidR="000162EB" w:rsidRPr="00122AA1">
        <w:trPr>
          <w:trHeight w:val="570"/>
        </w:trPr>
        <w:tc>
          <w:tcPr>
            <w:tcW w:w="9645" w:type="dxa"/>
            <w:tcBorders>
              <w:top w:val="single" w:sz="2" w:space="0" w:color="505050"/>
            </w:tcBorders>
            <w:shd w:val="clear" w:color="auto" w:fill="auto"/>
            <w:vAlign w:val="center"/>
          </w:tcPr>
          <w:p w:rsidR="000162EB" w:rsidRPr="00122AA1" w:rsidRDefault="000162EB">
            <w:pPr>
              <w:pStyle w:val="Caption"/>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4</w:t>
            </w:r>
            <w:r w:rsidR="00302C7D" w:rsidRPr="00122AA1">
              <w:rPr>
                <w:rFonts w:ascii="Arial" w:hAnsi="Arial" w:cs="Arial"/>
              </w:rPr>
              <w:fldChar w:fldCharType="end"/>
            </w:r>
            <w:r w:rsidRPr="00122AA1">
              <w:rPr>
                <w:rFonts w:ascii="Arial" w:hAnsi="Arial" w:cs="Arial"/>
              </w:rPr>
              <w:t xml:space="preserve"> Data analytics processes analyse consumers’ preferences and behaviour</w:t>
            </w:r>
          </w:p>
        </w:tc>
      </w:tr>
      <w:tr w:rsidR="000162EB" w:rsidRPr="00122AA1">
        <w:trPr>
          <w:trHeight w:val="3086"/>
        </w:trPr>
        <w:tc>
          <w:tcPr>
            <w:tcW w:w="9645" w:type="dxa"/>
            <w:shd w:val="clear" w:color="auto" w:fill="auto"/>
            <w:tcMar>
              <w:left w:w="28" w:type="dxa"/>
            </w:tcMar>
          </w:tcPr>
          <w:p w:rsidR="000162EB" w:rsidRPr="00122AA1" w:rsidRDefault="000162EB">
            <w:pPr>
              <w:rPr>
                <w:rFonts w:ascii="Arial" w:hAnsi="Arial" w:cs="Arial"/>
              </w:rPr>
            </w:pPr>
            <w:r w:rsidRPr="00122AA1">
              <w:rPr>
                <w:rFonts w:ascii="Arial" w:hAnsi="Arial" w:cs="Arial"/>
                <w:noProof/>
              </w:rPr>
              <w:drawing>
                <wp:inline distT="0" distB="0" distL="0" distR="0">
                  <wp:extent cx="5380788" cy="2533650"/>
                  <wp:effectExtent l="19050" t="0" r="0" b="0"/>
                  <wp:docPr id="6" name="Picture 1" descr="http://www.neustar.biz/information/img/ian/ianlifecycle460px.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ustar.biz/information/img/ian/ianlifecycle460px.png">
                            <a:hlinkClick r:id="rId25"/>
                          </pic:cNvPr>
                          <pic:cNvPicPr>
                            <a:picLocks noChangeAspect="1" noChangeArrowheads="1"/>
                          </pic:cNvPicPr>
                        </pic:nvPicPr>
                        <pic:blipFill>
                          <a:blip r:embed="rId26" cstate="print"/>
                          <a:srcRect/>
                          <a:stretch>
                            <a:fillRect/>
                          </a:stretch>
                        </pic:blipFill>
                        <pic:spPr bwMode="auto">
                          <a:xfrm>
                            <a:off x="0" y="0"/>
                            <a:ext cx="5384008" cy="2535166"/>
                          </a:xfrm>
                          <a:prstGeom prst="rect">
                            <a:avLst/>
                          </a:prstGeom>
                          <a:noFill/>
                          <a:ln w="9525">
                            <a:noFill/>
                            <a:miter lim="800000"/>
                            <a:headEnd/>
                            <a:tailEnd/>
                          </a:ln>
                        </pic:spPr>
                      </pic:pic>
                    </a:graphicData>
                  </a:graphic>
                </wp:inline>
              </w:drawing>
            </w:r>
          </w:p>
        </w:tc>
      </w:tr>
      <w:tr w:rsidR="000162EB" w:rsidRPr="00122AA1">
        <w:trPr>
          <w:trHeight w:val="291"/>
        </w:trPr>
        <w:tc>
          <w:tcPr>
            <w:tcW w:w="9645" w:type="dxa"/>
            <w:tcBorders>
              <w:bottom w:val="single" w:sz="2" w:space="0" w:color="505050"/>
            </w:tcBorders>
            <w:shd w:val="clear" w:color="auto" w:fill="auto"/>
          </w:tcPr>
          <w:p w:rsidR="000162EB" w:rsidRPr="00122AA1" w:rsidRDefault="000162EB">
            <w:pPr>
              <w:rPr>
                <w:rFonts w:ascii="Arial" w:hAnsi="Arial" w:cs="Arial"/>
              </w:rPr>
            </w:pPr>
            <w:r w:rsidRPr="00122AA1">
              <w:rPr>
                <w:rFonts w:ascii="Arial" w:hAnsi="Arial" w:cs="Arial"/>
                <w:i/>
                <w:sz w:val="16"/>
                <w:szCs w:val="16"/>
              </w:rPr>
              <w:t>Source: Neustar.</w:t>
            </w:r>
            <w:r w:rsidRPr="00122AA1">
              <w:rPr>
                <w:rStyle w:val="FootnoteReference"/>
                <w:rFonts w:cs="Arial"/>
                <w:i/>
                <w:sz w:val="16"/>
                <w:szCs w:val="16"/>
              </w:rPr>
              <w:footnoteReference w:id="10"/>
            </w:r>
          </w:p>
        </w:tc>
      </w:tr>
    </w:tbl>
    <w:p w:rsidR="000162EB" w:rsidRPr="00122AA1" w:rsidRDefault="000162EB" w:rsidP="00D2129F">
      <w:pPr>
        <w:rPr>
          <w:rFonts w:ascii="Arial" w:hAnsi="Arial" w:cs="Arial"/>
        </w:rPr>
      </w:pPr>
    </w:p>
    <w:p w:rsidR="005E6831" w:rsidRPr="00122AA1" w:rsidRDefault="004A1FAC" w:rsidP="006E4320">
      <w:pPr>
        <w:rPr>
          <w:rFonts w:ascii="Arial" w:hAnsi="Arial" w:cs="Arial"/>
        </w:rPr>
      </w:pPr>
      <w:r w:rsidRPr="00122AA1">
        <w:rPr>
          <w:rFonts w:ascii="Arial" w:hAnsi="Arial" w:cs="Arial"/>
        </w:rPr>
        <w:t xml:space="preserve">Organisations </w:t>
      </w:r>
      <w:r w:rsidR="00E84640" w:rsidRPr="00122AA1">
        <w:rPr>
          <w:rFonts w:ascii="Arial" w:hAnsi="Arial" w:cs="Arial"/>
        </w:rPr>
        <w:t xml:space="preserve">that </w:t>
      </w:r>
      <w:r w:rsidRPr="00122AA1">
        <w:rPr>
          <w:rFonts w:ascii="Arial" w:hAnsi="Arial" w:cs="Arial"/>
        </w:rPr>
        <w:t>collect and hold personal information are recognising its potential value to third parties and developing new business models</w:t>
      </w:r>
      <w:r w:rsidR="00E84640" w:rsidRPr="00122AA1">
        <w:rPr>
          <w:rFonts w:ascii="Arial" w:hAnsi="Arial" w:cs="Arial"/>
        </w:rPr>
        <w:t>,</w:t>
      </w:r>
      <w:r w:rsidRPr="00122AA1">
        <w:rPr>
          <w:rFonts w:ascii="Arial" w:hAnsi="Arial" w:cs="Arial"/>
        </w:rPr>
        <w:t xml:space="preserve"> which</w:t>
      </w:r>
      <w:r w:rsidR="00DA6CB7" w:rsidRPr="00122AA1">
        <w:rPr>
          <w:rFonts w:ascii="Arial" w:hAnsi="Arial" w:cs="Arial"/>
        </w:rPr>
        <w:t xml:space="preserve"> aim to generate new revenue.</w:t>
      </w:r>
    </w:p>
    <w:p w:rsidR="006E4320" w:rsidRPr="00122AA1" w:rsidRDefault="006E4320" w:rsidP="006E4320">
      <w:pPr>
        <w:rPr>
          <w:rFonts w:ascii="Arial" w:hAnsi="Arial" w:cs="Arial"/>
        </w:rPr>
      </w:pPr>
    </w:p>
    <w:p w:rsidR="004A1FAC" w:rsidRPr="00122AA1" w:rsidRDefault="004A1FAC" w:rsidP="006E4320">
      <w:pPr>
        <w:spacing w:after="80"/>
        <w:rPr>
          <w:rFonts w:ascii="Arial" w:hAnsi="Arial" w:cs="Arial"/>
        </w:rPr>
      </w:pPr>
      <w:r w:rsidRPr="00122AA1">
        <w:rPr>
          <w:rFonts w:ascii="Arial" w:hAnsi="Arial" w:cs="Arial"/>
        </w:rPr>
        <w:t xml:space="preserve">Telecommunications companies Telefonica and Verizon Wireless have established specialist data analytics units within their operations to extract commercial value from data collected regarding their customers’ online and </w:t>
      </w:r>
      <w:r w:rsidR="00DA6CB7" w:rsidRPr="00122AA1">
        <w:rPr>
          <w:rFonts w:ascii="Arial" w:hAnsi="Arial" w:cs="Arial"/>
        </w:rPr>
        <w:t xml:space="preserve">telecommunications activities. </w:t>
      </w:r>
      <w:r w:rsidRPr="00122AA1">
        <w:rPr>
          <w:rFonts w:ascii="Arial" w:hAnsi="Arial" w:cs="Arial"/>
        </w:rPr>
        <w:t>Examples of the types of information products that can be produced from this data include:</w:t>
      </w:r>
    </w:p>
    <w:p w:rsidR="004A1FAC" w:rsidRPr="00122AA1" w:rsidRDefault="00EA0914" w:rsidP="004A1FAC">
      <w:pPr>
        <w:pStyle w:val="ListBullet"/>
        <w:rPr>
          <w:rFonts w:ascii="Arial" w:hAnsi="Arial" w:cs="Arial"/>
        </w:rPr>
      </w:pPr>
      <w:r w:rsidRPr="00122AA1">
        <w:rPr>
          <w:rFonts w:ascii="Arial" w:hAnsi="Arial" w:cs="Arial"/>
        </w:rPr>
        <w:t>analyses of customers’ physical movements in clear and simple graphs and figures</w:t>
      </w:r>
    </w:p>
    <w:p w:rsidR="004A1FAC" w:rsidRPr="00122AA1" w:rsidRDefault="00EA0914" w:rsidP="004A1FAC">
      <w:pPr>
        <w:pStyle w:val="ListBullet"/>
        <w:rPr>
          <w:rFonts w:ascii="Arial" w:hAnsi="Arial" w:cs="Arial"/>
        </w:rPr>
      </w:pPr>
      <w:r w:rsidRPr="00122AA1">
        <w:rPr>
          <w:rFonts w:ascii="Arial" w:hAnsi="Arial" w:cs="Arial"/>
        </w:rPr>
        <w:t>searches of an area by footfall, demographic, or address</w:t>
      </w:r>
    </w:p>
    <w:p w:rsidR="004A1FAC" w:rsidRPr="00122AA1" w:rsidRDefault="006F4E60" w:rsidP="004A1FAC">
      <w:pPr>
        <w:pStyle w:val="ListBullet"/>
        <w:rPr>
          <w:rFonts w:ascii="Arial" w:hAnsi="Arial" w:cs="Arial"/>
        </w:rPr>
      </w:pPr>
      <w:r w:rsidRPr="00122AA1">
        <w:rPr>
          <w:rFonts w:ascii="Arial" w:hAnsi="Arial" w:cs="Arial"/>
        </w:rPr>
        <w:t xml:space="preserve">customer visits to </w:t>
      </w:r>
      <w:r w:rsidR="00EA0914" w:rsidRPr="00122AA1">
        <w:rPr>
          <w:rFonts w:ascii="Arial" w:hAnsi="Arial" w:cs="Arial"/>
        </w:rPr>
        <w:t xml:space="preserve">an area </w:t>
      </w:r>
      <w:r w:rsidRPr="00122AA1">
        <w:rPr>
          <w:rFonts w:ascii="Arial" w:hAnsi="Arial" w:cs="Arial"/>
        </w:rPr>
        <w:t xml:space="preserve">identified </w:t>
      </w:r>
      <w:r w:rsidR="00EA0914" w:rsidRPr="00122AA1">
        <w:rPr>
          <w:rFonts w:ascii="Arial" w:hAnsi="Arial" w:cs="Arial"/>
        </w:rPr>
        <w:t>by time, gender, or age</w:t>
      </w:r>
    </w:p>
    <w:p w:rsidR="004A1FAC" w:rsidRPr="00122AA1" w:rsidRDefault="00EA0914" w:rsidP="000A48C5">
      <w:pPr>
        <w:pStyle w:val="ListBullet"/>
        <w:spacing w:after="240"/>
        <w:rPr>
          <w:rFonts w:ascii="Arial" w:hAnsi="Arial" w:cs="Arial"/>
        </w:rPr>
      </w:pPr>
      <w:r w:rsidRPr="00122AA1">
        <w:rPr>
          <w:rFonts w:ascii="Arial" w:hAnsi="Arial" w:cs="Arial"/>
        </w:rPr>
        <w:t>reports on the movements of crowds at any given place by hour, day, week, or month.</w:t>
      </w:r>
      <w:r w:rsidRPr="00122AA1">
        <w:rPr>
          <w:rFonts w:ascii="Arial" w:hAnsi="Arial" w:cs="Arial"/>
          <w:vertAlign w:val="superscript"/>
        </w:rPr>
        <w:footnoteReference w:id="11"/>
      </w:r>
    </w:p>
    <w:p w:rsidR="00A02CF1" w:rsidRPr="00122AA1" w:rsidRDefault="00EA0914" w:rsidP="006E4320">
      <w:pPr>
        <w:rPr>
          <w:rFonts w:ascii="Arial" w:hAnsi="Arial" w:cs="Arial"/>
        </w:rPr>
      </w:pPr>
      <w:r w:rsidRPr="00122AA1">
        <w:rPr>
          <w:rFonts w:ascii="Arial" w:hAnsi="Arial" w:cs="Arial"/>
        </w:rPr>
        <w:t xml:space="preserve">With increases in computing power, and the availability of personal information from social networking activity, information aggregators have the capacity to </w:t>
      </w:r>
      <w:r w:rsidR="00B614B9" w:rsidRPr="00122AA1">
        <w:rPr>
          <w:rFonts w:ascii="Arial" w:hAnsi="Arial" w:cs="Arial"/>
        </w:rPr>
        <w:t>combine</w:t>
      </w:r>
      <w:r w:rsidRPr="00122AA1">
        <w:rPr>
          <w:rFonts w:ascii="Arial" w:hAnsi="Arial" w:cs="Arial"/>
        </w:rPr>
        <w:t xml:space="preserve"> distinct pieces of digital information, such as an individual’s online activity, behavioural preferences and location </w:t>
      </w:r>
      <w:r w:rsidR="00B614B9" w:rsidRPr="00122AA1">
        <w:rPr>
          <w:rFonts w:ascii="Arial" w:hAnsi="Arial" w:cs="Arial"/>
        </w:rPr>
        <w:t>data</w:t>
      </w:r>
      <w:r w:rsidRPr="00122AA1">
        <w:rPr>
          <w:rFonts w:ascii="Arial" w:hAnsi="Arial" w:cs="Arial"/>
        </w:rPr>
        <w:t>.</w:t>
      </w:r>
      <w:r w:rsidR="005E6831" w:rsidRPr="00122AA1">
        <w:rPr>
          <w:rFonts w:ascii="Arial" w:hAnsi="Arial" w:cs="Arial"/>
        </w:rPr>
        <w:t xml:space="preserve"> </w:t>
      </w:r>
      <w:r w:rsidR="00B614B9" w:rsidRPr="00122AA1">
        <w:rPr>
          <w:rFonts w:ascii="Arial" w:hAnsi="Arial" w:cs="Arial"/>
        </w:rPr>
        <w:t xml:space="preserve">And </w:t>
      </w:r>
      <w:r w:rsidR="005E6831" w:rsidRPr="00122AA1">
        <w:rPr>
          <w:rFonts w:ascii="Arial" w:hAnsi="Arial" w:cs="Arial"/>
        </w:rPr>
        <w:t>many consumers will not be aware of the extent to which information they have voluntarily shared on social networking s</w:t>
      </w:r>
      <w:r w:rsidR="00E06A34" w:rsidRPr="00122AA1">
        <w:rPr>
          <w:rFonts w:ascii="Arial" w:hAnsi="Arial" w:cs="Arial"/>
        </w:rPr>
        <w:t>ites—</w:t>
      </w:r>
      <w:r w:rsidR="005E6831" w:rsidRPr="00122AA1">
        <w:rPr>
          <w:rFonts w:ascii="Arial" w:hAnsi="Arial" w:cs="Arial"/>
        </w:rPr>
        <w:t>such</w:t>
      </w:r>
      <w:r w:rsidR="00E06A34" w:rsidRPr="00122AA1">
        <w:rPr>
          <w:rFonts w:ascii="Arial" w:hAnsi="Arial" w:cs="Arial"/>
        </w:rPr>
        <w:t xml:space="preserve"> as location data and ‘likes</w:t>
      </w:r>
      <w:r w:rsidR="00EB360F" w:rsidRPr="00122AA1">
        <w:rPr>
          <w:rFonts w:ascii="Arial" w:hAnsi="Arial" w:cs="Arial"/>
        </w:rPr>
        <w:t>’</w:t>
      </w:r>
      <w:r w:rsidR="00E06A34" w:rsidRPr="00122AA1">
        <w:rPr>
          <w:rFonts w:ascii="Arial" w:hAnsi="Arial" w:cs="Arial"/>
        </w:rPr>
        <w:t>—</w:t>
      </w:r>
      <w:r w:rsidR="005E6831" w:rsidRPr="00122AA1">
        <w:rPr>
          <w:rFonts w:ascii="Arial" w:hAnsi="Arial" w:cs="Arial"/>
        </w:rPr>
        <w:t>is being used to inform marketing practices</w:t>
      </w:r>
      <w:r w:rsidR="002E1ADE" w:rsidRPr="00122AA1">
        <w:rPr>
          <w:rFonts w:ascii="Arial" w:hAnsi="Arial" w:cs="Arial"/>
        </w:rPr>
        <w:t xml:space="preserve">. </w:t>
      </w:r>
      <w:r w:rsidR="005E6831" w:rsidRPr="00122AA1">
        <w:rPr>
          <w:rFonts w:ascii="Arial" w:hAnsi="Arial" w:cs="Arial"/>
        </w:rPr>
        <w:t>It</w:t>
      </w:r>
      <w:r w:rsidR="004A1FAC" w:rsidRPr="00122AA1">
        <w:rPr>
          <w:rFonts w:ascii="Arial" w:hAnsi="Arial" w:cs="Arial"/>
        </w:rPr>
        <w:t xml:space="preserve"> has been reported that an individual’s personality type can be deduced by analysing </w:t>
      </w:r>
      <w:r w:rsidR="002E1ADE" w:rsidRPr="00122AA1">
        <w:rPr>
          <w:rFonts w:ascii="Arial" w:hAnsi="Arial" w:cs="Arial"/>
        </w:rPr>
        <w:t xml:space="preserve">the content of their ‘tweets’. </w:t>
      </w:r>
      <w:r w:rsidR="004A1FAC" w:rsidRPr="00122AA1">
        <w:rPr>
          <w:rFonts w:ascii="Arial" w:hAnsi="Arial" w:cs="Arial"/>
        </w:rPr>
        <w:t>The resulting personality profile information may then be used to design and target marketing activity.</w:t>
      </w:r>
      <w:r w:rsidR="004A1FAC" w:rsidRPr="00122AA1">
        <w:rPr>
          <w:rStyle w:val="FootnoteReference"/>
          <w:rFonts w:cs="Arial"/>
        </w:rPr>
        <w:footnoteReference w:id="12"/>
      </w:r>
    </w:p>
    <w:p w:rsidR="00A02CF1" w:rsidRPr="00122AA1" w:rsidRDefault="00A02CF1" w:rsidP="006E4320">
      <w:pPr>
        <w:rPr>
          <w:rFonts w:ascii="Arial" w:hAnsi="Arial" w:cs="Arial"/>
        </w:rPr>
      </w:pPr>
    </w:p>
    <w:p w:rsidR="004A1FAC" w:rsidRPr="00122AA1" w:rsidRDefault="004A1FAC" w:rsidP="006E4320">
      <w:pPr>
        <w:rPr>
          <w:rFonts w:ascii="Arial" w:hAnsi="Arial" w:cs="Arial"/>
        </w:rPr>
      </w:pPr>
      <w:r w:rsidRPr="00122AA1">
        <w:rPr>
          <w:rFonts w:ascii="Arial" w:hAnsi="Arial" w:cs="Arial"/>
        </w:rPr>
        <w:t xml:space="preserve">While some data is aggregated and anonymised, the capacity for data sources to be traded and combined means that citizens will not be aware of where their data is going and what it might be used for </w:t>
      </w:r>
      <w:r w:rsidR="005843FA" w:rsidRPr="00122AA1">
        <w:rPr>
          <w:rFonts w:ascii="Arial" w:hAnsi="Arial" w:cs="Arial"/>
        </w:rPr>
        <w:t>when it is collected</w:t>
      </w:r>
      <w:r w:rsidRPr="00122AA1">
        <w:rPr>
          <w:rFonts w:ascii="Arial" w:hAnsi="Arial" w:cs="Arial"/>
        </w:rPr>
        <w:t>. Th</w:t>
      </w:r>
      <w:r w:rsidR="005E6831" w:rsidRPr="00122AA1">
        <w:rPr>
          <w:rFonts w:ascii="Arial" w:hAnsi="Arial" w:cs="Arial"/>
        </w:rPr>
        <w:t xml:space="preserve">ese practices challenge </w:t>
      </w:r>
      <w:r w:rsidRPr="00122AA1">
        <w:rPr>
          <w:rFonts w:ascii="Arial" w:hAnsi="Arial" w:cs="Arial"/>
        </w:rPr>
        <w:t>the ongoing viability of traditional data collection processes based on obtaining a citizen’s informed consent.</w:t>
      </w:r>
    </w:p>
    <w:p w:rsidR="004A1FAC" w:rsidRPr="00122AA1" w:rsidRDefault="004A1FAC" w:rsidP="004A1FAC">
      <w:pPr>
        <w:rPr>
          <w:rFonts w:ascii="Arial" w:hAnsi="Arial" w:cs="Arial"/>
        </w:rPr>
      </w:pPr>
    </w:p>
    <w:p w:rsidR="00AD5E90" w:rsidRPr="00122AA1" w:rsidRDefault="00570F40" w:rsidP="00AD5E90">
      <w:pPr>
        <w:rPr>
          <w:rFonts w:ascii="Arial" w:hAnsi="Arial" w:cs="Arial"/>
        </w:rPr>
      </w:pPr>
      <w:r w:rsidRPr="00122AA1">
        <w:rPr>
          <w:rFonts w:ascii="Arial" w:hAnsi="Arial" w:cs="Arial"/>
        </w:rPr>
        <w:t>T</w:t>
      </w:r>
      <w:r w:rsidR="00DB5C9D" w:rsidRPr="00122AA1">
        <w:rPr>
          <w:rFonts w:ascii="Arial" w:hAnsi="Arial" w:cs="Arial"/>
        </w:rPr>
        <w:t xml:space="preserve">echnology developments </w:t>
      </w:r>
      <w:r w:rsidRPr="00122AA1">
        <w:rPr>
          <w:rFonts w:ascii="Arial" w:hAnsi="Arial" w:cs="Arial"/>
        </w:rPr>
        <w:t xml:space="preserve">have </w:t>
      </w:r>
      <w:r w:rsidR="00DB5C9D" w:rsidRPr="00122AA1">
        <w:rPr>
          <w:rFonts w:ascii="Arial" w:hAnsi="Arial" w:cs="Arial"/>
        </w:rPr>
        <w:t xml:space="preserve">introduced a more diverse </w:t>
      </w:r>
      <w:r w:rsidR="00E33D05" w:rsidRPr="00122AA1">
        <w:rPr>
          <w:rFonts w:ascii="Arial" w:hAnsi="Arial" w:cs="Arial"/>
        </w:rPr>
        <w:t>range of participants</w:t>
      </w:r>
      <w:r w:rsidR="00AD5E90" w:rsidRPr="00122AA1">
        <w:rPr>
          <w:rFonts w:ascii="Arial" w:hAnsi="Arial" w:cs="Arial"/>
        </w:rPr>
        <w:t xml:space="preserve"> who are involved in the capture, storage and sharing of data derived from a broad range of s</w:t>
      </w:r>
      <w:r w:rsidR="002E1ADE" w:rsidRPr="00122AA1">
        <w:rPr>
          <w:rFonts w:ascii="Arial" w:hAnsi="Arial" w:cs="Arial"/>
        </w:rPr>
        <w:t xml:space="preserve">ocial and economic activities. </w:t>
      </w:r>
      <w:r w:rsidR="00AD5E90" w:rsidRPr="00122AA1">
        <w:rPr>
          <w:rFonts w:ascii="Arial" w:hAnsi="Arial" w:cs="Arial"/>
        </w:rPr>
        <w:t xml:space="preserve">Each of these elements </w:t>
      </w:r>
      <w:r w:rsidRPr="00122AA1">
        <w:rPr>
          <w:rFonts w:ascii="Arial" w:hAnsi="Arial" w:cs="Arial"/>
        </w:rPr>
        <w:t xml:space="preserve">in </w:t>
      </w:r>
      <w:r w:rsidR="00AD5E90" w:rsidRPr="00122AA1">
        <w:rPr>
          <w:rFonts w:ascii="Arial" w:hAnsi="Arial" w:cs="Arial"/>
        </w:rPr>
        <w:t xml:space="preserve">the </w:t>
      </w:r>
      <w:r w:rsidR="00DB5C9D" w:rsidRPr="00122AA1">
        <w:rPr>
          <w:rFonts w:ascii="Arial" w:hAnsi="Arial" w:cs="Arial"/>
        </w:rPr>
        <w:t>digital</w:t>
      </w:r>
      <w:r w:rsidR="00AD5E90" w:rsidRPr="00122AA1">
        <w:rPr>
          <w:rFonts w:ascii="Arial" w:hAnsi="Arial" w:cs="Arial"/>
        </w:rPr>
        <w:t xml:space="preserve"> data environment is having its own identifiable impact on citizens’ personal </w:t>
      </w:r>
      <w:r w:rsidR="00DB5C9D" w:rsidRPr="00122AA1">
        <w:rPr>
          <w:rFonts w:ascii="Arial" w:hAnsi="Arial" w:cs="Arial"/>
        </w:rPr>
        <w:t>information</w:t>
      </w:r>
      <w:r w:rsidR="00AD5E90" w:rsidRPr="00122AA1">
        <w:rPr>
          <w:rFonts w:ascii="Arial" w:hAnsi="Arial" w:cs="Arial"/>
        </w:rPr>
        <w:t xml:space="preserve"> experiences.</w:t>
      </w:r>
      <w:r w:rsidR="00D01FB5" w:rsidRPr="00122AA1">
        <w:rPr>
          <w:rFonts w:ascii="Arial" w:hAnsi="Arial" w:cs="Arial"/>
        </w:rPr>
        <w:t xml:space="preserve"> </w:t>
      </w:r>
    </w:p>
    <w:p w:rsidR="00AD5E90" w:rsidRPr="00122AA1" w:rsidRDefault="00AD5E90" w:rsidP="00AD5E90">
      <w:pPr>
        <w:rPr>
          <w:rFonts w:ascii="Arial" w:hAnsi="Arial" w:cs="Arial"/>
        </w:rPr>
      </w:pPr>
    </w:p>
    <w:p w:rsidR="00EF18FB" w:rsidRPr="00122AA1" w:rsidRDefault="00EF18FB" w:rsidP="00EF18FB">
      <w:pPr>
        <w:pStyle w:val="Heading2"/>
        <w:rPr>
          <w:rFonts w:ascii="Arial" w:hAnsi="Arial"/>
        </w:rPr>
      </w:pPr>
      <w:bookmarkStart w:id="7" w:name="_Toc359574751"/>
      <w:r w:rsidRPr="00122AA1">
        <w:rPr>
          <w:rFonts w:ascii="Arial" w:hAnsi="Arial"/>
        </w:rPr>
        <w:t>Evolving for technical tools and privacy-enhancing services</w:t>
      </w:r>
      <w:bookmarkEnd w:id="7"/>
    </w:p>
    <w:p w:rsidR="00EF18FB" w:rsidRPr="00122AA1" w:rsidRDefault="00EF18FB" w:rsidP="00EF18FB">
      <w:pPr>
        <w:rPr>
          <w:rFonts w:ascii="Arial" w:hAnsi="Arial" w:cs="Arial"/>
        </w:rPr>
      </w:pPr>
      <w:r w:rsidRPr="00122AA1">
        <w:rPr>
          <w:rFonts w:ascii="Arial" w:hAnsi="Arial" w:cs="Arial"/>
        </w:rPr>
        <w:t>As the data collection market has evolved, a range of privacy protection products and services have emerged to protect a user’s persona</w:t>
      </w:r>
      <w:r w:rsidR="00ED5A4E" w:rsidRPr="00122AA1">
        <w:rPr>
          <w:rFonts w:ascii="Arial" w:hAnsi="Arial" w:cs="Arial"/>
        </w:rPr>
        <w:t>l data in various ways. Figure 5</w:t>
      </w:r>
      <w:r w:rsidRPr="00122AA1">
        <w:rPr>
          <w:rFonts w:ascii="Arial" w:hAnsi="Arial" w:cs="Arial"/>
        </w:rPr>
        <w:t xml:space="preserve"> is a</w:t>
      </w:r>
      <w:r w:rsidR="00570F40" w:rsidRPr="00122AA1">
        <w:rPr>
          <w:rFonts w:ascii="Arial" w:hAnsi="Arial" w:cs="Arial"/>
        </w:rPr>
        <w:t>n</w:t>
      </w:r>
      <w:r w:rsidRPr="00122AA1">
        <w:rPr>
          <w:rFonts w:ascii="Arial" w:hAnsi="Arial" w:cs="Arial"/>
        </w:rPr>
        <w:t xml:space="preserve"> overview of three major categories of privacy protection tools. These tools encompass, to varying degrees, several different aspects of privacy including anonymity, security, and the management of digital identity. Organisations may offer a service that relates to all three categories. </w:t>
      </w:r>
    </w:p>
    <w:p w:rsidR="00CE18D6" w:rsidRPr="00122AA1" w:rsidRDefault="00CE18D6" w:rsidP="00EF18FB">
      <w:pPr>
        <w:rPr>
          <w:rFonts w:ascii="Arial" w:hAnsi="Arial" w:cs="Arial"/>
        </w:rPr>
      </w:pPr>
    </w:p>
    <w:tbl>
      <w:tblPr>
        <w:tblW w:w="9645" w:type="dxa"/>
        <w:tblLayout w:type="fixed"/>
        <w:tblCellMar>
          <w:left w:w="0" w:type="dxa"/>
          <w:right w:w="0" w:type="dxa"/>
        </w:tblCellMar>
        <w:tblLook w:val="01E0"/>
      </w:tblPr>
      <w:tblGrid>
        <w:gridCol w:w="9645"/>
      </w:tblGrid>
      <w:tr w:rsidR="006E4320" w:rsidRPr="00122AA1">
        <w:trPr>
          <w:trHeight w:val="570"/>
        </w:trPr>
        <w:tc>
          <w:tcPr>
            <w:tcW w:w="9645" w:type="dxa"/>
            <w:tcBorders>
              <w:top w:val="single" w:sz="2" w:space="0" w:color="505050"/>
            </w:tcBorders>
            <w:shd w:val="clear" w:color="auto" w:fill="auto"/>
            <w:vAlign w:val="center"/>
          </w:tcPr>
          <w:p w:rsidR="006E4320" w:rsidRPr="00122AA1" w:rsidRDefault="006E4320">
            <w:pPr>
              <w:pStyle w:val="Caption"/>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5</w:t>
            </w:r>
            <w:r w:rsidR="00302C7D" w:rsidRPr="00122AA1">
              <w:rPr>
                <w:rFonts w:ascii="Arial" w:hAnsi="Arial" w:cs="Arial"/>
              </w:rPr>
              <w:fldChar w:fldCharType="end"/>
            </w:r>
            <w:r w:rsidRPr="00122AA1">
              <w:rPr>
                <w:rFonts w:ascii="Arial" w:hAnsi="Arial" w:cs="Arial"/>
              </w:rPr>
              <w:t xml:space="preserve"> </w:t>
            </w:r>
            <w:r w:rsidR="000162EB" w:rsidRPr="00122AA1">
              <w:rPr>
                <w:rFonts w:ascii="Arial" w:hAnsi="Arial" w:cs="Arial"/>
              </w:rPr>
              <w:t>Examples of privacy tools</w:t>
            </w:r>
          </w:p>
        </w:tc>
      </w:tr>
      <w:tr w:rsidR="006E4320" w:rsidRPr="00122AA1">
        <w:trPr>
          <w:trHeight w:val="3086"/>
        </w:trPr>
        <w:tc>
          <w:tcPr>
            <w:tcW w:w="9645" w:type="dxa"/>
            <w:shd w:val="clear" w:color="auto" w:fill="auto"/>
            <w:tcMar>
              <w:left w:w="28" w:type="dxa"/>
            </w:tcMar>
          </w:tcPr>
          <w:tbl>
            <w:tblPr>
              <w:tblStyle w:val="TableGrid"/>
              <w:tblW w:w="0" w:type="auto"/>
              <w:tblLayout w:type="fixed"/>
              <w:tblLook w:val="04A0"/>
            </w:tblPr>
            <w:tblGrid>
              <w:gridCol w:w="2268"/>
              <w:gridCol w:w="5387"/>
            </w:tblGrid>
            <w:tr w:rsidR="00F378B9" w:rsidRPr="00122AA1" w:rsidTr="00F378B9">
              <w:tc>
                <w:tcPr>
                  <w:tcW w:w="2268" w:type="dxa"/>
                  <w:shd w:val="clear" w:color="auto" w:fill="F2F2F2" w:themeFill="background1" w:themeFillShade="F2"/>
                  <w:vAlign w:val="center"/>
                </w:tcPr>
                <w:p w:rsidR="00F378B9" w:rsidRPr="00122AA1" w:rsidRDefault="00F378B9" w:rsidP="005114C5">
                  <w:pPr>
                    <w:rPr>
                      <w:rFonts w:ascii="Arial" w:hAnsi="Arial" w:cs="Arial"/>
                      <w:b/>
                      <w:szCs w:val="20"/>
                    </w:rPr>
                  </w:pPr>
                  <w:r w:rsidRPr="00122AA1">
                    <w:rPr>
                      <w:rFonts w:ascii="Arial" w:hAnsi="Arial" w:cs="Arial"/>
                      <w:b/>
                      <w:szCs w:val="20"/>
                    </w:rPr>
                    <w:t>Personal data vaults</w:t>
                  </w:r>
                </w:p>
              </w:tc>
              <w:tc>
                <w:tcPr>
                  <w:tcW w:w="5387" w:type="dxa"/>
                  <w:tcMar>
                    <w:top w:w="57" w:type="dxa"/>
                    <w:bottom w:w="57" w:type="dxa"/>
                    <w:right w:w="851" w:type="dxa"/>
                  </w:tcMar>
                </w:tcPr>
                <w:p w:rsidR="00F378B9" w:rsidRPr="00122AA1" w:rsidRDefault="00F378B9" w:rsidP="005114C5">
                  <w:pPr>
                    <w:pStyle w:val="ListParagraph"/>
                    <w:numPr>
                      <w:ilvl w:val="0"/>
                      <w:numId w:val="28"/>
                    </w:numPr>
                    <w:ind w:left="317" w:hanging="317"/>
                    <w:rPr>
                      <w:rFonts w:ascii="Arial" w:hAnsi="Arial" w:cs="Arial"/>
                      <w:sz w:val="20"/>
                      <w:szCs w:val="20"/>
                    </w:rPr>
                  </w:pPr>
                  <w:r w:rsidRPr="00122AA1">
                    <w:rPr>
                      <w:rFonts w:ascii="Arial" w:hAnsi="Arial" w:cs="Arial"/>
                      <w:sz w:val="20"/>
                      <w:szCs w:val="20"/>
                    </w:rPr>
                    <w:t>range from basic password protections to full database of a range of personal data</w:t>
                  </w:r>
                </w:p>
                <w:p w:rsidR="00F378B9" w:rsidRPr="00122AA1" w:rsidRDefault="00F378B9" w:rsidP="005114C5">
                  <w:pPr>
                    <w:pStyle w:val="ListParagraph"/>
                    <w:numPr>
                      <w:ilvl w:val="0"/>
                      <w:numId w:val="28"/>
                    </w:numPr>
                    <w:ind w:left="317" w:hanging="317"/>
                    <w:rPr>
                      <w:rFonts w:ascii="Arial" w:hAnsi="Arial" w:cs="Arial"/>
                      <w:sz w:val="20"/>
                      <w:szCs w:val="20"/>
                    </w:rPr>
                  </w:pPr>
                  <w:r w:rsidRPr="00122AA1">
                    <w:rPr>
                      <w:rFonts w:ascii="Arial" w:hAnsi="Arial" w:cs="Arial"/>
                      <w:sz w:val="20"/>
                      <w:szCs w:val="20"/>
                    </w:rPr>
                    <w:t xml:space="preserve">some offer financial incentives for controlled </w:t>
                  </w:r>
                  <w:r w:rsidRPr="00122AA1">
                    <w:rPr>
                      <w:rFonts w:ascii="Arial" w:hAnsi="Arial" w:cs="Arial"/>
                      <w:sz w:val="20"/>
                      <w:szCs w:val="20"/>
                    </w:rPr>
                    <w:br/>
                    <w:t>sharing of data</w:t>
                  </w:r>
                </w:p>
                <w:p w:rsidR="00F378B9" w:rsidRPr="00122AA1" w:rsidRDefault="00F378B9" w:rsidP="005114C5">
                  <w:pPr>
                    <w:pStyle w:val="ListParagraph"/>
                    <w:numPr>
                      <w:ilvl w:val="0"/>
                      <w:numId w:val="28"/>
                    </w:numPr>
                    <w:spacing w:after="0"/>
                    <w:ind w:left="317" w:hanging="317"/>
                    <w:rPr>
                      <w:rFonts w:ascii="Arial" w:hAnsi="Arial" w:cs="Arial"/>
                      <w:sz w:val="20"/>
                      <w:szCs w:val="20"/>
                    </w:rPr>
                  </w:pPr>
                  <w:r w:rsidRPr="00122AA1">
                    <w:rPr>
                      <w:rFonts w:ascii="Arial" w:hAnsi="Arial" w:cs="Arial"/>
                      <w:sz w:val="20"/>
                      <w:szCs w:val="20"/>
                    </w:rPr>
                    <w:t>examples include Singly, Personal, mint.com</w:t>
                  </w:r>
                </w:p>
              </w:tc>
            </w:tr>
            <w:tr w:rsidR="00F378B9" w:rsidRPr="00122AA1" w:rsidTr="00F378B9">
              <w:tc>
                <w:tcPr>
                  <w:tcW w:w="2268" w:type="dxa"/>
                  <w:shd w:val="clear" w:color="auto" w:fill="F2F2F2" w:themeFill="background1" w:themeFillShade="F2"/>
                  <w:vAlign w:val="center"/>
                </w:tcPr>
                <w:p w:rsidR="00F378B9" w:rsidRPr="00122AA1" w:rsidRDefault="00F378B9" w:rsidP="005114C5">
                  <w:pPr>
                    <w:rPr>
                      <w:rFonts w:ascii="Arial" w:hAnsi="Arial" w:cs="Arial"/>
                      <w:b/>
                      <w:szCs w:val="20"/>
                    </w:rPr>
                  </w:pPr>
                  <w:r w:rsidRPr="00122AA1">
                    <w:rPr>
                      <w:rFonts w:ascii="Arial" w:hAnsi="Arial" w:cs="Arial"/>
                      <w:b/>
                      <w:szCs w:val="20"/>
                    </w:rPr>
                    <w:t>Personal data monitors</w:t>
                  </w:r>
                </w:p>
              </w:tc>
              <w:tc>
                <w:tcPr>
                  <w:tcW w:w="5387" w:type="dxa"/>
                  <w:tcMar>
                    <w:top w:w="57" w:type="dxa"/>
                    <w:bottom w:w="57" w:type="dxa"/>
                    <w:right w:w="851" w:type="dxa"/>
                  </w:tcMar>
                </w:tcPr>
                <w:p w:rsidR="00F378B9" w:rsidRPr="00122AA1" w:rsidRDefault="00F378B9" w:rsidP="005114C5">
                  <w:pPr>
                    <w:pStyle w:val="ListParagraph"/>
                    <w:numPr>
                      <w:ilvl w:val="0"/>
                      <w:numId w:val="28"/>
                    </w:numPr>
                    <w:ind w:left="317" w:hanging="317"/>
                    <w:rPr>
                      <w:rFonts w:ascii="Arial" w:hAnsi="Arial" w:cs="Arial"/>
                      <w:sz w:val="20"/>
                      <w:szCs w:val="20"/>
                    </w:rPr>
                  </w:pPr>
                  <w:r w:rsidRPr="00122AA1">
                    <w:rPr>
                      <w:rFonts w:ascii="Arial" w:hAnsi="Arial" w:cs="Arial"/>
                      <w:sz w:val="20"/>
                      <w:szCs w:val="20"/>
                    </w:rPr>
                    <w:t>provide information on where personal data is being sent and how it is being used</w:t>
                  </w:r>
                </w:p>
                <w:p w:rsidR="00F378B9" w:rsidRPr="00122AA1" w:rsidRDefault="00F378B9" w:rsidP="005114C5">
                  <w:pPr>
                    <w:pStyle w:val="ListParagraph"/>
                    <w:numPr>
                      <w:ilvl w:val="0"/>
                      <w:numId w:val="28"/>
                    </w:numPr>
                    <w:ind w:left="317" w:hanging="317"/>
                    <w:rPr>
                      <w:rFonts w:ascii="Arial" w:hAnsi="Arial" w:cs="Arial"/>
                      <w:sz w:val="20"/>
                      <w:szCs w:val="20"/>
                    </w:rPr>
                  </w:pPr>
                  <w:r w:rsidRPr="00122AA1">
                    <w:rPr>
                      <w:rFonts w:ascii="Arial" w:hAnsi="Arial" w:cs="Arial"/>
                      <w:sz w:val="20"/>
                      <w:szCs w:val="20"/>
                    </w:rPr>
                    <w:t>some services offer an ability to monitor the online reputation of an organisation or individual</w:t>
                  </w:r>
                </w:p>
                <w:p w:rsidR="00F378B9" w:rsidRPr="00122AA1" w:rsidRDefault="00F378B9" w:rsidP="005114C5">
                  <w:pPr>
                    <w:pStyle w:val="ListParagraph"/>
                    <w:numPr>
                      <w:ilvl w:val="0"/>
                      <w:numId w:val="28"/>
                    </w:numPr>
                    <w:spacing w:after="0"/>
                    <w:ind w:left="317" w:hanging="317"/>
                    <w:rPr>
                      <w:rFonts w:ascii="Arial" w:hAnsi="Arial" w:cs="Arial"/>
                      <w:sz w:val="20"/>
                      <w:szCs w:val="20"/>
                    </w:rPr>
                  </w:pPr>
                  <w:r w:rsidRPr="00122AA1">
                    <w:rPr>
                      <w:rFonts w:ascii="Arial" w:hAnsi="Arial" w:cs="Arial"/>
                      <w:sz w:val="20"/>
                      <w:szCs w:val="20"/>
                    </w:rPr>
                    <w:t>examples include Reputation.com, Ghostery, Clueful</w:t>
                  </w:r>
                </w:p>
              </w:tc>
            </w:tr>
            <w:tr w:rsidR="00F378B9" w:rsidRPr="00122AA1" w:rsidTr="00F378B9">
              <w:tc>
                <w:tcPr>
                  <w:tcW w:w="2268" w:type="dxa"/>
                  <w:shd w:val="clear" w:color="auto" w:fill="F2F2F2" w:themeFill="background1" w:themeFillShade="F2"/>
                  <w:vAlign w:val="center"/>
                </w:tcPr>
                <w:p w:rsidR="00F378B9" w:rsidRPr="00122AA1" w:rsidRDefault="00F378B9" w:rsidP="005114C5">
                  <w:pPr>
                    <w:rPr>
                      <w:rFonts w:ascii="Arial" w:hAnsi="Arial" w:cs="Arial"/>
                      <w:b/>
                      <w:szCs w:val="20"/>
                    </w:rPr>
                  </w:pPr>
                  <w:r w:rsidRPr="00122AA1">
                    <w:rPr>
                      <w:rFonts w:ascii="Arial" w:hAnsi="Arial" w:cs="Arial"/>
                      <w:b/>
                      <w:szCs w:val="20"/>
                    </w:rPr>
                    <w:t>Anonymisers</w:t>
                  </w:r>
                </w:p>
              </w:tc>
              <w:tc>
                <w:tcPr>
                  <w:tcW w:w="5387" w:type="dxa"/>
                  <w:tcMar>
                    <w:top w:w="57" w:type="dxa"/>
                    <w:bottom w:w="57" w:type="dxa"/>
                    <w:right w:w="851" w:type="dxa"/>
                  </w:tcMar>
                </w:tcPr>
                <w:p w:rsidR="00F378B9" w:rsidRPr="00122AA1" w:rsidRDefault="00F378B9" w:rsidP="005114C5">
                  <w:pPr>
                    <w:pStyle w:val="ListParagraph"/>
                    <w:numPr>
                      <w:ilvl w:val="0"/>
                      <w:numId w:val="28"/>
                    </w:numPr>
                    <w:ind w:left="317" w:hanging="317"/>
                    <w:rPr>
                      <w:rFonts w:ascii="Arial" w:hAnsi="Arial" w:cs="Arial"/>
                      <w:sz w:val="20"/>
                      <w:szCs w:val="20"/>
                    </w:rPr>
                  </w:pPr>
                  <w:r w:rsidRPr="00122AA1">
                    <w:rPr>
                      <w:rFonts w:ascii="Arial" w:hAnsi="Arial" w:cs="Arial"/>
                      <w:sz w:val="20"/>
                      <w:szCs w:val="20"/>
                    </w:rPr>
                    <w:t>range from do not track tools to encryption of data and other services</w:t>
                  </w:r>
                </w:p>
                <w:p w:rsidR="00F378B9" w:rsidRPr="00122AA1" w:rsidRDefault="00F378B9" w:rsidP="005114C5">
                  <w:pPr>
                    <w:pStyle w:val="ListParagraph"/>
                    <w:numPr>
                      <w:ilvl w:val="0"/>
                      <w:numId w:val="28"/>
                    </w:numPr>
                    <w:spacing w:after="0"/>
                    <w:ind w:left="317" w:hanging="317"/>
                    <w:rPr>
                      <w:rFonts w:ascii="Arial" w:hAnsi="Arial" w:cs="Arial"/>
                      <w:sz w:val="20"/>
                      <w:szCs w:val="20"/>
                    </w:rPr>
                  </w:pPr>
                  <w:r w:rsidRPr="00122AA1">
                    <w:rPr>
                      <w:rFonts w:ascii="Arial" w:hAnsi="Arial" w:cs="Arial"/>
                      <w:sz w:val="20"/>
                      <w:szCs w:val="20"/>
                    </w:rPr>
                    <w:t>examples include Bitcoin, Voucher-Safe and Deadbolt</w:t>
                  </w:r>
                </w:p>
              </w:tc>
            </w:tr>
          </w:tbl>
          <w:p w:rsidR="006E4320" w:rsidRPr="00122AA1" w:rsidRDefault="006E4320">
            <w:pPr>
              <w:rPr>
                <w:rFonts w:ascii="Arial" w:hAnsi="Arial" w:cs="Arial"/>
              </w:rPr>
            </w:pPr>
          </w:p>
        </w:tc>
      </w:tr>
      <w:tr w:rsidR="006E4320" w:rsidRPr="00122AA1">
        <w:trPr>
          <w:trHeight w:val="291"/>
        </w:trPr>
        <w:tc>
          <w:tcPr>
            <w:tcW w:w="9645" w:type="dxa"/>
            <w:tcBorders>
              <w:bottom w:val="single" w:sz="2" w:space="0" w:color="505050"/>
            </w:tcBorders>
            <w:shd w:val="clear" w:color="auto" w:fill="auto"/>
          </w:tcPr>
          <w:p w:rsidR="006E4320" w:rsidRPr="00122AA1" w:rsidRDefault="006E4320">
            <w:pPr>
              <w:rPr>
                <w:rFonts w:ascii="Arial" w:hAnsi="Arial" w:cs="Arial"/>
              </w:rPr>
            </w:pPr>
          </w:p>
        </w:tc>
      </w:tr>
    </w:tbl>
    <w:p w:rsidR="00EF18FB" w:rsidRPr="00122AA1" w:rsidRDefault="00EF18FB" w:rsidP="000162EB">
      <w:pPr>
        <w:rPr>
          <w:rFonts w:ascii="Arial" w:hAnsi="Arial" w:cs="Arial"/>
        </w:rPr>
      </w:pPr>
    </w:p>
    <w:p w:rsidR="00EF18FB" w:rsidRPr="00122AA1" w:rsidRDefault="00EF18FB" w:rsidP="00CA60B5">
      <w:pPr>
        <w:pStyle w:val="Heading3"/>
        <w:rPr>
          <w:rFonts w:ascii="Arial" w:hAnsi="Arial"/>
        </w:rPr>
      </w:pPr>
      <w:bookmarkStart w:id="8" w:name="_Toc359338632"/>
      <w:bookmarkStart w:id="9" w:name="_Toc359574752"/>
      <w:r w:rsidRPr="00122AA1">
        <w:rPr>
          <w:rFonts w:ascii="Arial" w:hAnsi="Arial"/>
        </w:rPr>
        <w:t>Personal data vaults</w:t>
      </w:r>
      <w:bookmarkEnd w:id="8"/>
      <w:bookmarkEnd w:id="9"/>
    </w:p>
    <w:p w:rsidR="00EF18FB" w:rsidRPr="00122AA1" w:rsidRDefault="00EF18FB" w:rsidP="00EF18FB">
      <w:pPr>
        <w:rPr>
          <w:rFonts w:ascii="Arial" w:hAnsi="Arial" w:cs="Arial"/>
        </w:rPr>
      </w:pPr>
      <w:r w:rsidRPr="00122AA1">
        <w:rPr>
          <w:rFonts w:ascii="Arial" w:hAnsi="Arial" w:cs="Arial"/>
        </w:rPr>
        <w:t xml:space="preserve">There </w:t>
      </w:r>
      <w:r w:rsidR="0089723A" w:rsidRPr="00122AA1">
        <w:rPr>
          <w:rFonts w:ascii="Arial" w:hAnsi="Arial" w:cs="Arial"/>
        </w:rPr>
        <w:t xml:space="preserve">is </w:t>
      </w:r>
      <w:r w:rsidRPr="00122AA1">
        <w:rPr>
          <w:rFonts w:ascii="Arial" w:hAnsi="Arial" w:cs="Arial"/>
        </w:rPr>
        <w:t xml:space="preserve">a range of personal data vault services that collect, protect and allow controlled sharing of a range of personal data. These new services present innovative ways for consumers to not only protect their privacy but </w:t>
      </w:r>
      <w:r w:rsidR="0089723A" w:rsidRPr="00122AA1">
        <w:rPr>
          <w:rFonts w:ascii="Arial" w:hAnsi="Arial" w:cs="Arial"/>
        </w:rPr>
        <w:t xml:space="preserve">also </w:t>
      </w:r>
      <w:r w:rsidRPr="00122AA1">
        <w:rPr>
          <w:rFonts w:ascii="Arial" w:hAnsi="Arial" w:cs="Arial"/>
        </w:rPr>
        <w:t>to regain some control over where and how th</w:t>
      </w:r>
      <w:r w:rsidR="00ED5A4E" w:rsidRPr="00122AA1">
        <w:rPr>
          <w:rFonts w:ascii="Arial" w:hAnsi="Arial" w:cs="Arial"/>
        </w:rPr>
        <w:t>eir data is distributed online.</w:t>
      </w:r>
      <w:r w:rsidRPr="00122AA1">
        <w:rPr>
          <w:rFonts w:ascii="Arial" w:hAnsi="Arial" w:cs="Arial"/>
        </w:rPr>
        <w:t xml:space="preserve"> One example is Personal.com,</w:t>
      </w:r>
      <w:r w:rsidR="0089723A" w:rsidRPr="00122AA1">
        <w:rPr>
          <w:rFonts w:ascii="Arial" w:hAnsi="Arial" w:cs="Arial"/>
        </w:rPr>
        <w:t xml:space="preserve"> which </w:t>
      </w:r>
      <w:r w:rsidRPr="00122AA1">
        <w:rPr>
          <w:rFonts w:ascii="Arial" w:hAnsi="Arial" w:cs="Arial"/>
        </w:rPr>
        <w:t xml:space="preserve">stores a range of customer data and allows sharing of this information </w:t>
      </w:r>
      <w:r w:rsidR="0089723A" w:rsidRPr="00122AA1">
        <w:rPr>
          <w:rFonts w:ascii="Arial" w:hAnsi="Arial" w:cs="Arial"/>
        </w:rPr>
        <w:t xml:space="preserve">with partner organisations, </w:t>
      </w:r>
      <w:r w:rsidRPr="00122AA1">
        <w:rPr>
          <w:rFonts w:ascii="Arial" w:hAnsi="Arial" w:cs="Arial"/>
        </w:rPr>
        <w:t>according to customer-set rules.</w:t>
      </w:r>
      <w:r w:rsidRPr="00122AA1">
        <w:rPr>
          <w:rStyle w:val="FootnoteReference"/>
          <w:rFonts w:cs="Arial"/>
        </w:rPr>
        <w:footnoteReference w:id="13"/>
      </w:r>
      <w:r w:rsidRPr="00122AA1">
        <w:rPr>
          <w:rFonts w:ascii="Arial" w:hAnsi="Arial" w:cs="Arial"/>
        </w:rPr>
        <w:t xml:space="preserve"> The service is based on the idea that people can take control of their personal data and may be able to share that data in exchange for various items of value.</w:t>
      </w:r>
      <w:r w:rsidRPr="00122AA1">
        <w:rPr>
          <w:rStyle w:val="FootnoteReference"/>
          <w:rFonts w:cs="Arial"/>
        </w:rPr>
        <w:footnoteReference w:id="14"/>
      </w:r>
      <w:r w:rsidRPr="00122AA1">
        <w:rPr>
          <w:rFonts w:ascii="Arial" w:hAnsi="Arial" w:cs="Arial"/>
        </w:rPr>
        <w:t xml:space="preserve"> The personal data vault market </w:t>
      </w:r>
      <w:proofErr w:type="gramStart"/>
      <w:r w:rsidRPr="00122AA1">
        <w:rPr>
          <w:rFonts w:ascii="Arial" w:hAnsi="Arial" w:cs="Arial"/>
        </w:rPr>
        <w:t>is forecast</w:t>
      </w:r>
      <w:proofErr w:type="gramEnd"/>
      <w:r w:rsidRPr="00122AA1">
        <w:rPr>
          <w:rFonts w:ascii="Arial" w:hAnsi="Arial" w:cs="Arial"/>
        </w:rPr>
        <w:t xml:space="preserve"> to reach £30 million by 2016.</w:t>
      </w:r>
      <w:r w:rsidRPr="00122AA1">
        <w:rPr>
          <w:rStyle w:val="FootnoteReference"/>
          <w:rFonts w:cs="Arial"/>
        </w:rPr>
        <w:footnoteReference w:id="15"/>
      </w:r>
      <w:r w:rsidRPr="00122AA1">
        <w:rPr>
          <w:rFonts w:ascii="Arial" w:hAnsi="Arial" w:cs="Arial"/>
        </w:rPr>
        <w:t xml:space="preserve"> </w:t>
      </w:r>
    </w:p>
    <w:p w:rsidR="00B041E7" w:rsidRPr="00122AA1" w:rsidRDefault="00B041E7" w:rsidP="00EF18FB">
      <w:pPr>
        <w:rPr>
          <w:rFonts w:ascii="Arial" w:hAnsi="Arial" w:cs="Arial"/>
        </w:rPr>
      </w:pPr>
    </w:p>
    <w:p w:rsidR="00EF18FB" w:rsidRPr="00122AA1" w:rsidRDefault="00EF18FB" w:rsidP="00CA60B5">
      <w:pPr>
        <w:pStyle w:val="Heading3"/>
        <w:rPr>
          <w:rFonts w:ascii="Arial" w:hAnsi="Arial"/>
        </w:rPr>
      </w:pPr>
      <w:bookmarkStart w:id="10" w:name="_Toc359338633"/>
      <w:bookmarkStart w:id="11" w:name="_Toc359574753"/>
      <w:r w:rsidRPr="00122AA1">
        <w:rPr>
          <w:rFonts w:ascii="Arial" w:hAnsi="Arial"/>
        </w:rPr>
        <w:t>Personal data monitors</w:t>
      </w:r>
      <w:bookmarkEnd w:id="10"/>
      <w:bookmarkEnd w:id="11"/>
    </w:p>
    <w:p w:rsidR="00EF18FB" w:rsidRPr="00122AA1" w:rsidRDefault="00EF18FB" w:rsidP="000A48C5">
      <w:pPr>
        <w:spacing w:after="80"/>
        <w:rPr>
          <w:rFonts w:ascii="Arial" w:hAnsi="Arial" w:cs="Arial"/>
        </w:rPr>
      </w:pPr>
      <w:r w:rsidRPr="00122AA1">
        <w:rPr>
          <w:rFonts w:ascii="Arial" w:hAnsi="Arial" w:cs="Arial"/>
        </w:rPr>
        <w:t>There are two types of personal data monitors, those that track:</w:t>
      </w:r>
    </w:p>
    <w:p w:rsidR="00EF18FB" w:rsidRPr="00122AA1" w:rsidRDefault="00EF18FB" w:rsidP="000A48C5">
      <w:pPr>
        <w:pStyle w:val="ListBullet"/>
        <w:rPr>
          <w:rFonts w:ascii="Arial" w:hAnsi="Arial" w:cs="Arial"/>
        </w:rPr>
      </w:pPr>
      <w:r w:rsidRPr="00122AA1">
        <w:rPr>
          <w:rFonts w:ascii="Arial" w:hAnsi="Arial" w:cs="Arial"/>
        </w:rPr>
        <w:t xml:space="preserve">the public personal data of an individual or organisation available online </w:t>
      </w:r>
    </w:p>
    <w:p w:rsidR="00EF18FB" w:rsidRPr="00122AA1" w:rsidRDefault="00EF18FB" w:rsidP="000A48C5">
      <w:pPr>
        <w:pStyle w:val="ListBullet"/>
        <w:spacing w:after="240"/>
        <w:rPr>
          <w:rFonts w:ascii="Arial" w:hAnsi="Arial" w:cs="Arial"/>
        </w:rPr>
      </w:pPr>
      <w:r w:rsidRPr="00122AA1">
        <w:rPr>
          <w:rFonts w:ascii="Arial" w:hAnsi="Arial" w:cs="Arial"/>
        </w:rPr>
        <w:t xml:space="preserve">the personal data being collected, where it is delivered and </w:t>
      </w:r>
      <w:r w:rsidR="00CA60B5" w:rsidRPr="00122AA1">
        <w:rPr>
          <w:rFonts w:ascii="Arial" w:hAnsi="Arial" w:cs="Arial"/>
        </w:rPr>
        <w:t>its uses</w:t>
      </w:r>
      <w:r w:rsidRPr="00122AA1">
        <w:rPr>
          <w:rFonts w:ascii="Arial" w:hAnsi="Arial" w:cs="Arial"/>
        </w:rPr>
        <w:t xml:space="preserve">. </w:t>
      </w:r>
    </w:p>
    <w:p w:rsidR="00EF18FB" w:rsidRPr="00122AA1" w:rsidRDefault="00EF18FB" w:rsidP="004B1953">
      <w:pPr>
        <w:spacing w:after="240"/>
        <w:ind w:left="30"/>
        <w:rPr>
          <w:rFonts w:ascii="Arial" w:hAnsi="Arial" w:cs="Arial"/>
        </w:rPr>
      </w:pPr>
      <w:r w:rsidRPr="00122AA1">
        <w:rPr>
          <w:rFonts w:ascii="Arial" w:hAnsi="Arial" w:cs="Arial"/>
        </w:rPr>
        <w:t>Services that track online information can offer to services ‘clean</w:t>
      </w:r>
      <w:r w:rsidR="0089723A" w:rsidRPr="00122AA1">
        <w:rPr>
          <w:rFonts w:ascii="Arial" w:hAnsi="Arial" w:cs="Arial"/>
        </w:rPr>
        <w:t xml:space="preserve"> </w:t>
      </w:r>
      <w:r w:rsidRPr="00122AA1">
        <w:rPr>
          <w:rFonts w:ascii="Arial" w:hAnsi="Arial" w:cs="Arial"/>
        </w:rPr>
        <w:t xml:space="preserve">up’ personal </w:t>
      </w:r>
      <w:r w:rsidR="0089723A" w:rsidRPr="00122AA1">
        <w:rPr>
          <w:rFonts w:ascii="Arial" w:hAnsi="Arial" w:cs="Arial"/>
        </w:rPr>
        <w:t xml:space="preserve">online </w:t>
      </w:r>
      <w:r w:rsidRPr="00122AA1">
        <w:rPr>
          <w:rFonts w:ascii="Arial" w:hAnsi="Arial" w:cs="Arial"/>
        </w:rPr>
        <w:t>data. One example is Reputation.com, which offers the ReputationDefender® tool that suppresses negative online content about an individual and replaces it with positive content controlled by the user.</w:t>
      </w:r>
      <w:r w:rsidRPr="00122AA1">
        <w:rPr>
          <w:rStyle w:val="FootnoteReference"/>
          <w:rFonts w:cs="Arial"/>
        </w:rPr>
        <w:footnoteReference w:id="16"/>
      </w:r>
      <w:r w:rsidR="00CA60B5" w:rsidRPr="00122AA1">
        <w:rPr>
          <w:rFonts w:ascii="Arial" w:hAnsi="Arial" w:cs="Arial"/>
        </w:rPr>
        <w:t xml:space="preserve"> </w:t>
      </w:r>
      <w:r w:rsidRPr="00122AA1">
        <w:rPr>
          <w:rFonts w:ascii="Arial" w:hAnsi="Arial" w:cs="Arial"/>
        </w:rPr>
        <w:t>Services that track the collection of personal data often provide tools to bloc</w:t>
      </w:r>
      <w:r w:rsidR="00ED5A4E" w:rsidRPr="00122AA1">
        <w:rPr>
          <w:rFonts w:ascii="Arial" w:hAnsi="Arial" w:cs="Arial"/>
        </w:rPr>
        <w:t>k this data</w:t>
      </w:r>
      <w:r w:rsidR="0089723A" w:rsidRPr="00122AA1">
        <w:rPr>
          <w:rFonts w:ascii="Arial" w:hAnsi="Arial" w:cs="Arial"/>
        </w:rPr>
        <w:t>-</w:t>
      </w:r>
      <w:r w:rsidR="00ED5A4E" w:rsidRPr="00122AA1">
        <w:rPr>
          <w:rFonts w:ascii="Arial" w:hAnsi="Arial" w:cs="Arial"/>
        </w:rPr>
        <w:t>collection process.</w:t>
      </w:r>
      <w:r w:rsidRPr="00122AA1">
        <w:rPr>
          <w:rFonts w:ascii="Arial" w:hAnsi="Arial" w:cs="Arial"/>
        </w:rPr>
        <w:t xml:space="preserve"> An example is the Clueful app (</w:t>
      </w:r>
      <w:hyperlink r:id="rId27" w:history="1">
        <w:r w:rsidRPr="00122AA1">
          <w:rPr>
            <w:rStyle w:val="Hyperlink"/>
            <w:rFonts w:ascii="Arial" w:hAnsi="Arial" w:cs="Arial"/>
          </w:rPr>
          <w:t>www.clueful.com</w:t>
        </w:r>
      </w:hyperlink>
      <w:r w:rsidRPr="00122AA1">
        <w:rPr>
          <w:rFonts w:ascii="Arial" w:hAnsi="Arial" w:cs="Arial"/>
        </w:rPr>
        <w:t xml:space="preserve">) that provides information on the use of personal data by other applications. </w:t>
      </w:r>
    </w:p>
    <w:p w:rsidR="00EF18FB" w:rsidRPr="00122AA1" w:rsidRDefault="00EF18FB" w:rsidP="00CA60B5">
      <w:pPr>
        <w:pStyle w:val="Heading3"/>
        <w:rPr>
          <w:rFonts w:ascii="Arial" w:hAnsi="Arial"/>
        </w:rPr>
      </w:pPr>
      <w:bookmarkStart w:id="12" w:name="_Toc359338634"/>
      <w:bookmarkStart w:id="13" w:name="_Toc359574754"/>
      <w:r w:rsidRPr="00122AA1">
        <w:rPr>
          <w:rFonts w:ascii="Arial" w:hAnsi="Arial"/>
        </w:rPr>
        <w:t>Anonymisers</w:t>
      </w:r>
      <w:bookmarkEnd w:id="12"/>
      <w:bookmarkEnd w:id="13"/>
    </w:p>
    <w:p w:rsidR="00EF18FB" w:rsidRPr="00122AA1" w:rsidRDefault="00EF18FB" w:rsidP="00EF18FB">
      <w:pPr>
        <w:rPr>
          <w:rFonts w:ascii="Arial" w:hAnsi="Arial" w:cs="Arial"/>
        </w:rPr>
      </w:pPr>
      <w:r w:rsidRPr="00122AA1">
        <w:rPr>
          <w:rFonts w:ascii="Arial" w:hAnsi="Arial" w:cs="Arial"/>
        </w:rPr>
        <w:t>These services offer various ways to make the user anonymous</w:t>
      </w:r>
      <w:r w:rsidR="0089723A" w:rsidRPr="00122AA1">
        <w:rPr>
          <w:rFonts w:ascii="Arial" w:hAnsi="Arial" w:cs="Arial"/>
        </w:rPr>
        <w:t xml:space="preserve"> </w:t>
      </w:r>
      <w:r w:rsidRPr="00122AA1">
        <w:rPr>
          <w:rFonts w:ascii="Arial" w:hAnsi="Arial" w:cs="Arial"/>
        </w:rPr>
        <w:t>by blocking tracking, encryption or other methods. One common method is the use of a Virtual Private Network (VPN) that can be used to hide the location, identity and other information associated with a user. Another example is Deadbolt, an application that enables the encryption of digital documents.</w:t>
      </w:r>
      <w:r w:rsidRPr="00122AA1">
        <w:rPr>
          <w:rStyle w:val="FootnoteReference"/>
          <w:rFonts w:cs="Arial"/>
        </w:rPr>
        <w:footnoteReference w:id="17"/>
      </w:r>
    </w:p>
    <w:p w:rsidR="00CA60B5" w:rsidRPr="00122AA1" w:rsidRDefault="00CA60B5" w:rsidP="00EF18FB">
      <w:pPr>
        <w:rPr>
          <w:rFonts w:ascii="Arial" w:hAnsi="Arial" w:cs="Arial"/>
        </w:rPr>
      </w:pPr>
    </w:p>
    <w:p w:rsidR="00DB5C9D" w:rsidRPr="00122AA1" w:rsidRDefault="00DB5C9D" w:rsidP="00DB5C9D">
      <w:pPr>
        <w:pStyle w:val="Heading2"/>
        <w:rPr>
          <w:rFonts w:ascii="Arial" w:hAnsi="Arial"/>
        </w:rPr>
      </w:pPr>
      <w:bookmarkStart w:id="14" w:name="_Toc359574755"/>
      <w:r w:rsidRPr="00122AA1">
        <w:rPr>
          <w:rFonts w:ascii="Arial" w:hAnsi="Arial"/>
        </w:rPr>
        <w:t>Changing definitions of personal information in the networked digital environment</w:t>
      </w:r>
      <w:bookmarkEnd w:id="14"/>
      <w:r w:rsidRPr="00122AA1">
        <w:rPr>
          <w:rFonts w:ascii="Arial" w:hAnsi="Arial"/>
        </w:rPr>
        <w:t xml:space="preserve"> </w:t>
      </w:r>
    </w:p>
    <w:p w:rsidR="00A02CF1" w:rsidRPr="00122AA1" w:rsidRDefault="00524E0F" w:rsidP="000A48C5">
      <w:pPr>
        <w:spacing w:after="80"/>
        <w:rPr>
          <w:rFonts w:ascii="Arial" w:hAnsi="Arial" w:cs="Arial"/>
        </w:rPr>
      </w:pPr>
      <w:r w:rsidRPr="00122AA1">
        <w:rPr>
          <w:rFonts w:ascii="Arial" w:hAnsi="Arial" w:cs="Arial"/>
        </w:rPr>
        <w:t>Personal information has a particular meaning for the purposes of privacy and communications data protections.</w:t>
      </w:r>
      <w:r w:rsidRPr="00122AA1">
        <w:rPr>
          <w:rStyle w:val="FootnoteReference"/>
          <w:rFonts w:cs="Arial"/>
        </w:rPr>
        <w:footnoteReference w:id="18"/>
      </w:r>
      <w:r w:rsidR="00ED5A4E" w:rsidRPr="00122AA1">
        <w:rPr>
          <w:rFonts w:ascii="Arial" w:hAnsi="Arial" w:cs="Arial"/>
        </w:rPr>
        <w:t xml:space="preserve"> </w:t>
      </w:r>
      <w:r w:rsidRPr="00122AA1">
        <w:rPr>
          <w:rFonts w:ascii="Arial" w:hAnsi="Arial" w:cs="Arial"/>
        </w:rPr>
        <w:t xml:space="preserve">The types of digital information that </w:t>
      </w:r>
      <w:r w:rsidR="0045623E" w:rsidRPr="00122AA1">
        <w:rPr>
          <w:rFonts w:ascii="Arial" w:hAnsi="Arial" w:cs="Arial"/>
        </w:rPr>
        <w:t xml:space="preserve">are </w:t>
      </w:r>
      <w:r w:rsidRPr="00122AA1">
        <w:rPr>
          <w:rFonts w:ascii="Arial" w:hAnsi="Arial" w:cs="Arial"/>
        </w:rPr>
        <w:t>now able to be created, collected, exchanged and reused include information about an individual’s se</w:t>
      </w:r>
      <w:r w:rsidR="009C41CD" w:rsidRPr="00122AA1">
        <w:rPr>
          <w:rFonts w:ascii="Arial" w:hAnsi="Arial" w:cs="Arial"/>
        </w:rPr>
        <w:t>arch history, social connections, interests, purchasing history, location</w:t>
      </w:r>
      <w:r w:rsidR="0045623E" w:rsidRPr="00122AA1">
        <w:rPr>
          <w:rFonts w:ascii="Arial" w:hAnsi="Arial" w:cs="Arial"/>
        </w:rPr>
        <w:t>,</w:t>
      </w:r>
      <w:r w:rsidR="009C41CD" w:rsidRPr="00122AA1">
        <w:rPr>
          <w:rFonts w:ascii="Arial" w:hAnsi="Arial" w:cs="Arial"/>
        </w:rPr>
        <w:t xml:space="preserve"> and calendars and contact sources</w:t>
      </w:r>
      <w:r w:rsidR="00ED5A4E" w:rsidRPr="00122AA1">
        <w:rPr>
          <w:rFonts w:ascii="Arial" w:hAnsi="Arial" w:cs="Arial"/>
        </w:rPr>
        <w:t>.</w:t>
      </w:r>
      <w:r w:rsidRPr="00122AA1">
        <w:rPr>
          <w:rStyle w:val="FootnoteReference"/>
          <w:rFonts w:cs="Arial"/>
        </w:rPr>
        <w:footnoteReference w:id="19"/>
      </w:r>
      <w:r w:rsidR="00ED5A4E" w:rsidRPr="00122AA1">
        <w:rPr>
          <w:rFonts w:ascii="Arial" w:hAnsi="Arial" w:cs="Arial"/>
        </w:rPr>
        <w:t xml:space="preserve"> </w:t>
      </w:r>
      <w:r w:rsidR="009C41CD" w:rsidRPr="00122AA1">
        <w:rPr>
          <w:rFonts w:ascii="Arial" w:hAnsi="Arial" w:cs="Arial"/>
        </w:rPr>
        <w:t xml:space="preserve">Digital data that underpins this information </w:t>
      </w:r>
      <w:r w:rsidRPr="00122AA1">
        <w:rPr>
          <w:rFonts w:ascii="Arial" w:hAnsi="Arial" w:cs="Arial"/>
        </w:rPr>
        <w:t xml:space="preserve">can be categorised </w:t>
      </w:r>
      <w:r w:rsidR="009C41CD" w:rsidRPr="00122AA1">
        <w:rPr>
          <w:rFonts w:ascii="Arial" w:hAnsi="Arial" w:cs="Arial"/>
        </w:rPr>
        <w:t>three main types</w:t>
      </w:r>
      <w:r w:rsidR="00817695" w:rsidRPr="00122AA1">
        <w:rPr>
          <w:rFonts w:ascii="Arial" w:hAnsi="Arial" w:cs="Arial"/>
        </w:rPr>
        <w:t>:</w:t>
      </w:r>
    </w:p>
    <w:p w:rsidR="00A02CF1" w:rsidRPr="00122AA1" w:rsidRDefault="005457A7" w:rsidP="000A48C5">
      <w:pPr>
        <w:pStyle w:val="ListBullet"/>
        <w:rPr>
          <w:rFonts w:ascii="Arial" w:hAnsi="Arial" w:cs="Arial"/>
        </w:rPr>
      </w:pPr>
      <w:r w:rsidRPr="00122AA1">
        <w:rPr>
          <w:rFonts w:ascii="Arial" w:hAnsi="Arial" w:cs="Arial"/>
        </w:rPr>
        <w:t>volunteered</w:t>
      </w:r>
      <w:r w:rsidR="00381D8A" w:rsidRPr="00122AA1">
        <w:rPr>
          <w:rFonts w:ascii="Arial" w:hAnsi="Arial" w:cs="Arial"/>
        </w:rPr>
        <w:t>—</w:t>
      </w:r>
      <w:r w:rsidR="00817695" w:rsidRPr="00122AA1">
        <w:rPr>
          <w:rFonts w:ascii="Arial" w:hAnsi="Arial" w:cs="Arial"/>
        </w:rPr>
        <w:t>that is</w:t>
      </w:r>
      <w:r w:rsidR="00381D8A" w:rsidRPr="00122AA1">
        <w:rPr>
          <w:rFonts w:ascii="Arial" w:hAnsi="Arial" w:cs="Arial"/>
        </w:rPr>
        <w:t>,</w:t>
      </w:r>
      <w:r w:rsidR="00817695" w:rsidRPr="00122AA1">
        <w:rPr>
          <w:rFonts w:ascii="Arial" w:hAnsi="Arial" w:cs="Arial"/>
        </w:rPr>
        <w:t xml:space="preserve"> data created and explicitly shared by the individual, such as data posted on social networking services (SNSs)</w:t>
      </w:r>
    </w:p>
    <w:p w:rsidR="00A02CF1" w:rsidRPr="00122AA1" w:rsidRDefault="00381D8A">
      <w:pPr>
        <w:pStyle w:val="ListBullet"/>
        <w:rPr>
          <w:rFonts w:ascii="Arial" w:hAnsi="Arial" w:cs="Arial"/>
        </w:rPr>
      </w:pPr>
      <w:r w:rsidRPr="00122AA1">
        <w:rPr>
          <w:rFonts w:ascii="Arial" w:hAnsi="Arial" w:cs="Arial"/>
        </w:rPr>
        <w:t>observed—</w:t>
      </w:r>
      <w:r w:rsidR="00817695" w:rsidRPr="00122AA1">
        <w:rPr>
          <w:rFonts w:ascii="Arial" w:hAnsi="Arial" w:cs="Arial"/>
        </w:rPr>
        <w:t>includes data harvested about an individual</w:t>
      </w:r>
      <w:r w:rsidR="0045623E" w:rsidRPr="00122AA1">
        <w:rPr>
          <w:rFonts w:ascii="Arial" w:hAnsi="Arial" w:cs="Arial"/>
        </w:rPr>
        <w:t>,</w:t>
      </w:r>
      <w:r w:rsidR="00817695" w:rsidRPr="00122AA1">
        <w:rPr>
          <w:rFonts w:ascii="Arial" w:hAnsi="Arial" w:cs="Arial"/>
        </w:rPr>
        <w:t xml:space="preserve"> such as their current location, or data harvested from third parties</w:t>
      </w:r>
      <w:r w:rsidR="0045623E" w:rsidRPr="00122AA1">
        <w:rPr>
          <w:rFonts w:ascii="Arial" w:hAnsi="Arial" w:cs="Arial"/>
        </w:rPr>
        <w:t>,</w:t>
      </w:r>
      <w:r w:rsidR="00817695" w:rsidRPr="00122AA1">
        <w:rPr>
          <w:rFonts w:ascii="Arial" w:hAnsi="Arial" w:cs="Arial"/>
        </w:rPr>
        <w:t xml:space="preserve"> such as an individual’s purchasing history</w:t>
      </w:r>
    </w:p>
    <w:p w:rsidR="00A02CF1" w:rsidRPr="00122AA1" w:rsidRDefault="005457A7" w:rsidP="000A48C5">
      <w:pPr>
        <w:pStyle w:val="ListBullet"/>
        <w:spacing w:after="240"/>
        <w:rPr>
          <w:rFonts w:ascii="Arial" w:hAnsi="Arial" w:cs="Arial"/>
        </w:rPr>
      </w:pPr>
      <w:r w:rsidRPr="00122AA1">
        <w:rPr>
          <w:rFonts w:ascii="Arial" w:hAnsi="Arial" w:cs="Arial"/>
        </w:rPr>
        <w:t>inferred</w:t>
      </w:r>
      <w:r w:rsidR="00381D8A" w:rsidRPr="00122AA1">
        <w:rPr>
          <w:rFonts w:ascii="Arial" w:hAnsi="Arial" w:cs="Arial"/>
        </w:rPr>
        <w:t>—</w:t>
      </w:r>
      <w:r w:rsidR="00817695" w:rsidRPr="00122AA1">
        <w:rPr>
          <w:rFonts w:ascii="Arial" w:hAnsi="Arial" w:cs="Arial"/>
        </w:rPr>
        <w:t>individuals volunteered and observed data that is processed to produce a new source of information and ano</w:t>
      </w:r>
      <w:r w:rsidR="00A02CF1" w:rsidRPr="00122AA1">
        <w:rPr>
          <w:rFonts w:ascii="Arial" w:hAnsi="Arial" w:cs="Arial"/>
        </w:rPr>
        <w:t>n</w:t>
      </w:r>
      <w:r w:rsidR="00817695" w:rsidRPr="00122AA1">
        <w:rPr>
          <w:rFonts w:ascii="Arial" w:hAnsi="Arial" w:cs="Arial"/>
        </w:rPr>
        <w:t>ymised d</w:t>
      </w:r>
      <w:r w:rsidR="00CE00EB" w:rsidRPr="00122AA1">
        <w:rPr>
          <w:rFonts w:ascii="Arial" w:hAnsi="Arial" w:cs="Arial"/>
        </w:rPr>
        <w:t>ata</w:t>
      </w:r>
      <w:r w:rsidR="00817695" w:rsidRPr="00122AA1">
        <w:rPr>
          <w:rFonts w:ascii="Arial" w:hAnsi="Arial" w:cs="Arial"/>
        </w:rPr>
        <w:t xml:space="preserve"> that relates to groups of individuals</w:t>
      </w:r>
      <w:r w:rsidR="0045623E" w:rsidRPr="00122AA1">
        <w:rPr>
          <w:rFonts w:ascii="Arial" w:hAnsi="Arial" w:cs="Arial"/>
        </w:rPr>
        <w:t>,</w:t>
      </w:r>
      <w:r w:rsidR="00817695" w:rsidRPr="00122AA1">
        <w:rPr>
          <w:rFonts w:ascii="Arial" w:hAnsi="Arial" w:cs="Arial"/>
        </w:rPr>
        <w:t xml:space="preserve"> such as groups of individuals who</w:t>
      </w:r>
      <w:r w:rsidR="001C36FA" w:rsidRPr="00122AA1">
        <w:rPr>
          <w:rFonts w:ascii="Arial" w:hAnsi="Arial" w:cs="Arial"/>
        </w:rPr>
        <w:t xml:space="preserve"> ‘</w:t>
      </w:r>
      <w:r w:rsidR="00ED5A4E" w:rsidRPr="00122AA1">
        <w:rPr>
          <w:rFonts w:ascii="Arial" w:hAnsi="Arial" w:cs="Arial"/>
        </w:rPr>
        <w:t>like’</w:t>
      </w:r>
      <w:r w:rsidR="00817695" w:rsidRPr="00122AA1">
        <w:rPr>
          <w:rFonts w:ascii="Arial" w:hAnsi="Arial" w:cs="Arial"/>
        </w:rPr>
        <w:t xml:space="preserve"> the sam</w:t>
      </w:r>
      <w:r w:rsidR="001C36FA" w:rsidRPr="00122AA1">
        <w:rPr>
          <w:rFonts w:ascii="Arial" w:hAnsi="Arial" w:cs="Arial"/>
        </w:rPr>
        <w:t>e activity.</w:t>
      </w:r>
    </w:p>
    <w:p w:rsidR="00965CB6" w:rsidRPr="00122AA1" w:rsidRDefault="00CE00EB" w:rsidP="000162EB">
      <w:pPr>
        <w:spacing w:after="240"/>
        <w:rPr>
          <w:rFonts w:ascii="Arial" w:hAnsi="Arial" w:cs="Arial"/>
        </w:rPr>
      </w:pPr>
      <w:r w:rsidRPr="00122AA1">
        <w:rPr>
          <w:rFonts w:ascii="Arial" w:hAnsi="Arial" w:cs="Arial"/>
        </w:rPr>
        <w:t>Current data practices now support inferred information about personal behaviour and preferences</w:t>
      </w:r>
      <w:r w:rsidR="0045623E" w:rsidRPr="00122AA1">
        <w:rPr>
          <w:rFonts w:ascii="Arial" w:hAnsi="Arial" w:cs="Arial"/>
        </w:rPr>
        <w:t>. This</w:t>
      </w:r>
      <w:r w:rsidRPr="00122AA1">
        <w:rPr>
          <w:rFonts w:ascii="Arial" w:hAnsi="Arial" w:cs="Arial"/>
        </w:rPr>
        <w:t xml:space="preserve"> does not directly or indirectly </w:t>
      </w:r>
      <w:r w:rsidR="004474E0" w:rsidRPr="00122AA1">
        <w:rPr>
          <w:rFonts w:ascii="Arial" w:hAnsi="Arial" w:cs="Arial"/>
        </w:rPr>
        <w:t xml:space="preserve">identify </w:t>
      </w:r>
      <w:r w:rsidRPr="00122AA1">
        <w:rPr>
          <w:rFonts w:ascii="Arial" w:hAnsi="Arial" w:cs="Arial"/>
        </w:rPr>
        <w:t>a person and is</w:t>
      </w:r>
      <w:r w:rsidR="0045623E" w:rsidRPr="00122AA1">
        <w:rPr>
          <w:rFonts w:ascii="Arial" w:hAnsi="Arial" w:cs="Arial"/>
        </w:rPr>
        <w:t xml:space="preserve"> a</w:t>
      </w:r>
      <w:r w:rsidRPr="00122AA1">
        <w:rPr>
          <w:rFonts w:ascii="Arial" w:hAnsi="Arial" w:cs="Arial"/>
        </w:rPr>
        <w:t xml:space="preserve"> category of digital data has ambiguous status within the privacy r</w:t>
      </w:r>
      <w:r w:rsidR="00ED5A4E" w:rsidRPr="00122AA1">
        <w:rPr>
          <w:rFonts w:ascii="Arial" w:hAnsi="Arial" w:cs="Arial"/>
        </w:rPr>
        <w:t>egulatory framework.</w:t>
      </w:r>
      <w:r w:rsidR="00FA0DEA" w:rsidRPr="00122AA1">
        <w:rPr>
          <w:rFonts w:ascii="Arial" w:hAnsi="Arial" w:cs="Arial"/>
        </w:rPr>
        <w:t xml:space="preserve"> For example, a consumer may be familiar and comfortable with data about the date, time and location of a credit card purchase being rec</w:t>
      </w:r>
      <w:r w:rsidR="00ED5A4E" w:rsidRPr="00122AA1">
        <w:rPr>
          <w:rFonts w:ascii="Arial" w:hAnsi="Arial" w:cs="Arial"/>
        </w:rPr>
        <w:t>orded as part of a transaction.</w:t>
      </w:r>
      <w:r w:rsidR="00FA0DEA" w:rsidRPr="00122AA1">
        <w:rPr>
          <w:rFonts w:ascii="Arial" w:hAnsi="Arial" w:cs="Arial"/>
        </w:rPr>
        <w:t xml:space="preserve"> They may be less familiar with technology and practices that record their movement through a store and associated purchasing behaviour and </w:t>
      </w:r>
      <w:r w:rsidR="0045623E" w:rsidRPr="00122AA1">
        <w:rPr>
          <w:rFonts w:ascii="Arial" w:hAnsi="Arial" w:cs="Arial"/>
        </w:rPr>
        <w:t xml:space="preserve">uses this data to </w:t>
      </w:r>
      <w:r w:rsidR="00FA0DEA" w:rsidRPr="00122AA1">
        <w:rPr>
          <w:rFonts w:ascii="Arial" w:hAnsi="Arial" w:cs="Arial"/>
        </w:rPr>
        <w:t>target marketing ma</w:t>
      </w:r>
      <w:r w:rsidR="00ED5A4E" w:rsidRPr="00122AA1">
        <w:rPr>
          <w:rFonts w:ascii="Arial" w:hAnsi="Arial" w:cs="Arial"/>
        </w:rPr>
        <w:t>terial to them.</w:t>
      </w:r>
      <w:r w:rsidR="00FA0DEA" w:rsidRPr="00122AA1">
        <w:rPr>
          <w:rFonts w:ascii="Arial" w:hAnsi="Arial" w:cs="Arial"/>
        </w:rPr>
        <w:t xml:space="preserve"> </w:t>
      </w:r>
    </w:p>
    <w:p w:rsidR="00CE00EB" w:rsidRPr="00122AA1" w:rsidRDefault="00CE00EB" w:rsidP="000162EB">
      <w:pPr>
        <w:spacing w:after="240"/>
        <w:rPr>
          <w:rFonts w:ascii="Arial" w:hAnsi="Arial" w:cs="Arial"/>
        </w:rPr>
      </w:pPr>
      <w:r w:rsidRPr="00122AA1">
        <w:rPr>
          <w:rFonts w:ascii="Arial" w:hAnsi="Arial" w:cs="Arial"/>
        </w:rPr>
        <w:t xml:space="preserve">Nonetheless, ACMA research indicates that citizens are concerned about the collection of </w:t>
      </w:r>
      <w:r w:rsidR="0045623E" w:rsidRPr="00122AA1">
        <w:rPr>
          <w:rFonts w:ascii="Arial" w:hAnsi="Arial" w:cs="Arial"/>
        </w:rPr>
        <w:t xml:space="preserve">this </w:t>
      </w:r>
      <w:r w:rsidRPr="00122AA1">
        <w:rPr>
          <w:rFonts w:ascii="Arial" w:hAnsi="Arial" w:cs="Arial"/>
        </w:rPr>
        <w:t>data, how it might be use</w:t>
      </w:r>
      <w:r w:rsidR="00ED5A4E" w:rsidRPr="00122AA1">
        <w:rPr>
          <w:rFonts w:ascii="Arial" w:hAnsi="Arial" w:cs="Arial"/>
        </w:rPr>
        <w:t>d and who has access to it.</w:t>
      </w:r>
      <w:r w:rsidRPr="00122AA1">
        <w:rPr>
          <w:rFonts w:ascii="Arial" w:hAnsi="Arial" w:cs="Arial"/>
        </w:rPr>
        <w:t xml:space="preserve"> Consumer and community expectations and concerns surrounding personal information practices are explored further in the next chapter.</w:t>
      </w:r>
    </w:p>
    <w:p w:rsidR="00A02CF1" w:rsidRPr="00122AA1" w:rsidRDefault="00A02CF1">
      <w:pPr>
        <w:rPr>
          <w:rFonts w:ascii="Arial" w:hAnsi="Arial" w:cs="Arial"/>
        </w:rPr>
      </w:pPr>
    </w:p>
    <w:p w:rsidR="00A02CF1" w:rsidRPr="00122AA1" w:rsidRDefault="004A1FAC" w:rsidP="00FF7858">
      <w:pPr>
        <w:pStyle w:val="Heading1"/>
        <w:rPr>
          <w:rFonts w:ascii="Arial" w:hAnsi="Arial"/>
        </w:rPr>
      </w:pPr>
      <w:bookmarkStart w:id="15" w:name="_Toc359574756"/>
      <w:r w:rsidRPr="00122AA1">
        <w:rPr>
          <w:rFonts w:ascii="Arial" w:hAnsi="Arial"/>
        </w:rPr>
        <w:t>Citizens</w:t>
      </w:r>
      <w:r w:rsidR="0045623E" w:rsidRPr="00122AA1">
        <w:rPr>
          <w:rFonts w:ascii="Arial" w:hAnsi="Arial"/>
        </w:rPr>
        <w:t>’</w:t>
      </w:r>
      <w:r w:rsidRPr="00122AA1">
        <w:rPr>
          <w:rFonts w:ascii="Arial" w:hAnsi="Arial"/>
        </w:rPr>
        <w:t xml:space="preserve"> </w:t>
      </w:r>
      <w:r w:rsidR="00A14AAC" w:rsidRPr="00122AA1">
        <w:rPr>
          <w:rFonts w:ascii="Arial" w:hAnsi="Arial"/>
        </w:rPr>
        <w:t xml:space="preserve">attitudes </w:t>
      </w:r>
      <w:r w:rsidR="0045623E" w:rsidRPr="00122AA1">
        <w:rPr>
          <w:rFonts w:ascii="Arial" w:hAnsi="Arial"/>
        </w:rPr>
        <w:t xml:space="preserve">to </w:t>
      </w:r>
      <w:r w:rsidR="00122AA1" w:rsidRPr="00122AA1">
        <w:rPr>
          <w:rFonts w:ascii="Arial" w:hAnsi="Arial"/>
        </w:rPr>
        <w:t>digital</w:t>
      </w:r>
      <w:r w:rsidR="000162EB" w:rsidRPr="00122AA1">
        <w:rPr>
          <w:rFonts w:ascii="Arial" w:hAnsi="Arial"/>
        </w:rPr>
        <w:br/>
      </w:r>
      <w:r w:rsidR="00A14AAC" w:rsidRPr="00122AA1">
        <w:rPr>
          <w:rFonts w:ascii="Arial" w:hAnsi="Arial"/>
        </w:rPr>
        <w:t>data sharing and security</w:t>
      </w:r>
      <w:bookmarkEnd w:id="15"/>
      <w:r w:rsidR="00A14AAC" w:rsidRPr="00122AA1">
        <w:rPr>
          <w:rFonts w:ascii="Arial" w:hAnsi="Arial"/>
        </w:rPr>
        <w:t xml:space="preserve"> </w:t>
      </w:r>
    </w:p>
    <w:p w:rsidR="0045623E" w:rsidRPr="00122AA1" w:rsidRDefault="00CA4E97" w:rsidP="00CA4E97">
      <w:pPr>
        <w:rPr>
          <w:rFonts w:ascii="Arial" w:hAnsi="Arial" w:cs="Arial"/>
        </w:rPr>
      </w:pPr>
      <w:r w:rsidRPr="00122AA1">
        <w:rPr>
          <w:rFonts w:ascii="Arial" w:hAnsi="Arial" w:cs="Arial"/>
        </w:rPr>
        <w:t xml:space="preserve">Concerns about the protection of personal data traditionally have focused on the practices of government entities, financial institutions and utilities. With a broadening of citizens’ engagement with digital communications and social media, there </w:t>
      </w:r>
      <w:r w:rsidR="0045623E" w:rsidRPr="00122AA1">
        <w:rPr>
          <w:rFonts w:ascii="Arial" w:hAnsi="Arial" w:cs="Arial"/>
        </w:rPr>
        <w:t xml:space="preserve">is </w:t>
      </w:r>
      <w:r w:rsidRPr="00122AA1">
        <w:rPr>
          <w:rFonts w:ascii="Arial" w:hAnsi="Arial" w:cs="Arial"/>
        </w:rPr>
        <w:t>a widening set of expectations and concer</w:t>
      </w:r>
      <w:r w:rsidR="00ED5A4E" w:rsidRPr="00122AA1">
        <w:rPr>
          <w:rFonts w:ascii="Arial" w:hAnsi="Arial" w:cs="Arial"/>
        </w:rPr>
        <w:t>ns with digital data practices.</w:t>
      </w:r>
      <w:r w:rsidRPr="00122AA1">
        <w:rPr>
          <w:rFonts w:ascii="Arial" w:hAnsi="Arial" w:cs="Arial"/>
        </w:rPr>
        <w:t xml:space="preserve"> </w:t>
      </w:r>
    </w:p>
    <w:p w:rsidR="0045623E" w:rsidRPr="00122AA1" w:rsidRDefault="0045623E" w:rsidP="00CA4E97">
      <w:pPr>
        <w:rPr>
          <w:rFonts w:ascii="Arial" w:hAnsi="Arial" w:cs="Arial"/>
        </w:rPr>
      </w:pPr>
    </w:p>
    <w:p w:rsidR="00CA4E97" w:rsidRPr="00122AA1" w:rsidRDefault="00B57982" w:rsidP="00B57982">
      <w:pPr>
        <w:rPr>
          <w:rFonts w:ascii="Arial" w:hAnsi="Arial" w:cs="Arial"/>
        </w:rPr>
      </w:pPr>
      <w:r w:rsidRPr="00122AA1">
        <w:rPr>
          <w:rFonts w:ascii="Arial" w:hAnsi="Arial" w:cs="Arial"/>
        </w:rPr>
        <w:t xml:space="preserve">This chapter examines citizen attitudes to </w:t>
      </w:r>
      <w:r w:rsidR="00035C81" w:rsidRPr="00122AA1">
        <w:rPr>
          <w:rFonts w:ascii="Arial" w:hAnsi="Arial" w:cs="Arial"/>
        </w:rPr>
        <w:t>the collection and use of their information in the media and communications environment</w:t>
      </w:r>
      <w:r w:rsidR="0063443F" w:rsidRPr="00122AA1">
        <w:rPr>
          <w:rFonts w:ascii="Arial" w:hAnsi="Arial" w:cs="Arial"/>
        </w:rPr>
        <w:t xml:space="preserve">, </w:t>
      </w:r>
      <w:r w:rsidRPr="00122AA1">
        <w:rPr>
          <w:rFonts w:ascii="Arial" w:hAnsi="Arial" w:cs="Arial"/>
        </w:rPr>
        <w:t>draw</w:t>
      </w:r>
      <w:r w:rsidR="0063443F" w:rsidRPr="00122AA1">
        <w:rPr>
          <w:rFonts w:ascii="Arial" w:hAnsi="Arial" w:cs="Arial"/>
        </w:rPr>
        <w:t>ing</w:t>
      </w:r>
      <w:r w:rsidRPr="00122AA1">
        <w:rPr>
          <w:rFonts w:ascii="Arial" w:hAnsi="Arial" w:cs="Arial"/>
        </w:rPr>
        <w:t xml:space="preserve"> on </w:t>
      </w:r>
      <w:r w:rsidR="0063443F" w:rsidRPr="00122AA1">
        <w:rPr>
          <w:rFonts w:ascii="Arial" w:hAnsi="Arial" w:cs="Arial"/>
        </w:rPr>
        <w:t xml:space="preserve">ACMA </w:t>
      </w:r>
      <w:r w:rsidRPr="00122AA1">
        <w:rPr>
          <w:rFonts w:ascii="Arial" w:hAnsi="Arial" w:cs="Arial"/>
        </w:rPr>
        <w:t>research</w:t>
      </w:r>
      <w:r w:rsidR="00CA4E97" w:rsidRPr="00122AA1">
        <w:rPr>
          <w:rFonts w:ascii="Arial" w:hAnsi="Arial" w:cs="Arial"/>
        </w:rPr>
        <w:t>.</w:t>
      </w:r>
      <w:r w:rsidR="00035C81" w:rsidRPr="00122AA1">
        <w:rPr>
          <w:rStyle w:val="FootnoteReference"/>
          <w:rFonts w:cs="Arial"/>
        </w:rPr>
        <w:footnoteReference w:id="20"/>
      </w:r>
      <w:r w:rsidR="00035C81" w:rsidRPr="00122AA1">
        <w:rPr>
          <w:rFonts w:ascii="Arial" w:hAnsi="Arial" w:cs="Arial"/>
        </w:rPr>
        <w:t xml:space="preserve"> </w:t>
      </w:r>
    </w:p>
    <w:p w:rsidR="00CA4E97" w:rsidRPr="00122AA1" w:rsidRDefault="00CA4E97" w:rsidP="00B57982">
      <w:pPr>
        <w:rPr>
          <w:rFonts w:ascii="Arial" w:hAnsi="Arial" w:cs="Arial"/>
        </w:rPr>
      </w:pPr>
    </w:p>
    <w:p w:rsidR="0063443F" w:rsidRPr="00122AA1" w:rsidRDefault="0089622E" w:rsidP="00A14AAC">
      <w:pPr>
        <w:rPr>
          <w:rFonts w:ascii="Arial" w:hAnsi="Arial" w:cs="Arial"/>
        </w:rPr>
      </w:pPr>
      <w:r w:rsidRPr="00122AA1">
        <w:rPr>
          <w:rFonts w:ascii="Arial" w:hAnsi="Arial" w:cs="Arial"/>
        </w:rPr>
        <w:t>Recent</w:t>
      </w:r>
      <w:r w:rsidR="0063443F" w:rsidRPr="00122AA1">
        <w:rPr>
          <w:rFonts w:ascii="Arial" w:hAnsi="Arial" w:cs="Arial"/>
        </w:rPr>
        <w:t xml:space="preserve"> </w:t>
      </w:r>
      <w:r w:rsidRPr="00122AA1">
        <w:rPr>
          <w:rFonts w:ascii="Arial" w:hAnsi="Arial" w:cs="Arial"/>
        </w:rPr>
        <w:t xml:space="preserve">ACMA research </w:t>
      </w:r>
      <w:r w:rsidR="0063443F" w:rsidRPr="00122AA1">
        <w:rPr>
          <w:rFonts w:ascii="Arial" w:hAnsi="Arial" w:cs="Arial"/>
        </w:rPr>
        <w:t xml:space="preserve">examined </w:t>
      </w:r>
      <w:r w:rsidRPr="00122AA1">
        <w:rPr>
          <w:rFonts w:ascii="Arial" w:hAnsi="Arial" w:cs="Arial"/>
        </w:rPr>
        <w:t xml:space="preserve">citizens’ attitudes towards the management of their digital identities and digital footprints. </w:t>
      </w:r>
      <w:r w:rsidR="0063443F" w:rsidRPr="00122AA1">
        <w:rPr>
          <w:rFonts w:ascii="Arial" w:hAnsi="Arial" w:cs="Arial"/>
        </w:rPr>
        <w:t>A</w:t>
      </w:r>
      <w:r w:rsidRPr="00122AA1">
        <w:rPr>
          <w:rFonts w:ascii="Arial" w:hAnsi="Arial" w:cs="Arial"/>
        </w:rPr>
        <w:t>ttitudes t</w:t>
      </w:r>
      <w:r w:rsidR="0063443F" w:rsidRPr="00122AA1">
        <w:rPr>
          <w:rFonts w:ascii="Arial" w:hAnsi="Arial" w:cs="Arial"/>
        </w:rPr>
        <w:t>o</w:t>
      </w:r>
      <w:r w:rsidRPr="00122AA1">
        <w:rPr>
          <w:rFonts w:ascii="Arial" w:hAnsi="Arial" w:cs="Arial"/>
        </w:rPr>
        <w:t xml:space="preserve"> different types of personal information and risk in the online environment</w:t>
      </w:r>
      <w:r w:rsidR="0063443F" w:rsidRPr="00122AA1">
        <w:rPr>
          <w:rFonts w:ascii="Arial" w:hAnsi="Arial" w:cs="Arial"/>
        </w:rPr>
        <w:t xml:space="preserve"> were also explored</w:t>
      </w:r>
      <w:r w:rsidRPr="00122AA1">
        <w:rPr>
          <w:rFonts w:ascii="Arial" w:hAnsi="Arial" w:cs="Arial"/>
        </w:rPr>
        <w:t xml:space="preserve">. </w:t>
      </w:r>
    </w:p>
    <w:p w:rsidR="0063443F" w:rsidRPr="00122AA1" w:rsidRDefault="0063443F" w:rsidP="00A14AAC">
      <w:pPr>
        <w:rPr>
          <w:rFonts w:ascii="Arial" w:hAnsi="Arial" w:cs="Arial"/>
        </w:rPr>
      </w:pPr>
    </w:p>
    <w:p w:rsidR="00A14AAC" w:rsidRPr="00122AA1" w:rsidRDefault="00A02CF1" w:rsidP="00A14AAC">
      <w:pPr>
        <w:rPr>
          <w:rFonts w:ascii="Arial" w:hAnsi="Arial" w:cs="Arial"/>
        </w:rPr>
      </w:pPr>
      <w:r w:rsidRPr="00122AA1">
        <w:rPr>
          <w:rFonts w:ascii="Arial" w:hAnsi="Arial" w:cs="Arial"/>
        </w:rPr>
        <w:t xml:space="preserve">The research </w:t>
      </w:r>
      <w:r w:rsidR="009B151A" w:rsidRPr="00122AA1">
        <w:rPr>
          <w:rFonts w:ascii="Arial" w:hAnsi="Arial" w:cs="Arial"/>
        </w:rPr>
        <w:t>indicates that citizens have a nuanced view about the perceived risks of operating in a digital data environment</w:t>
      </w:r>
      <w:r w:rsidR="0063443F" w:rsidRPr="00122AA1">
        <w:rPr>
          <w:rFonts w:ascii="Arial" w:hAnsi="Arial" w:cs="Arial"/>
        </w:rPr>
        <w:t>. However, they</w:t>
      </w:r>
      <w:r w:rsidR="009B151A" w:rsidRPr="00122AA1">
        <w:rPr>
          <w:rFonts w:ascii="Arial" w:hAnsi="Arial" w:cs="Arial"/>
        </w:rPr>
        <w:t xml:space="preserve"> do not always make distinctions between different types of personal data or adopt different strategies to manage differen</w:t>
      </w:r>
      <w:r w:rsidR="00ED5A4E" w:rsidRPr="00122AA1">
        <w:rPr>
          <w:rFonts w:ascii="Arial" w:hAnsi="Arial" w:cs="Arial"/>
        </w:rPr>
        <w:t>t types of digital information.</w:t>
      </w:r>
      <w:r w:rsidR="009B151A" w:rsidRPr="00122AA1">
        <w:rPr>
          <w:rFonts w:ascii="Arial" w:hAnsi="Arial" w:cs="Arial"/>
        </w:rPr>
        <w:t xml:space="preserve"> Understanding citizen expectations and behaviour offers useful insights to the framing of possible responses, including protection mechanism</w:t>
      </w:r>
      <w:r w:rsidRPr="00122AA1">
        <w:rPr>
          <w:rFonts w:ascii="Arial" w:hAnsi="Arial" w:cs="Arial"/>
        </w:rPr>
        <w:t>s</w:t>
      </w:r>
      <w:r w:rsidR="009B151A" w:rsidRPr="00122AA1">
        <w:rPr>
          <w:rFonts w:ascii="Arial" w:hAnsi="Arial" w:cs="Arial"/>
        </w:rPr>
        <w:t>.</w:t>
      </w:r>
    </w:p>
    <w:p w:rsidR="00AD5E90" w:rsidRPr="00122AA1" w:rsidRDefault="00AD5E90" w:rsidP="00A14AAC">
      <w:pPr>
        <w:rPr>
          <w:rFonts w:ascii="Arial" w:hAnsi="Arial" w:cs="Arial"/>
        </w:rPr>
      </w:pPr>
    </w:p>
    <w:p w:rsidR="00A02CF1" w:rsidRPr="00122AA1" w:rsidRDefault="00CA4E97">
      <w:pPr>
        <w:pStyle w:val="Heading2"/>
        <w:rPr>
          <w:rFonts w:ascii="Arial" w:hAnsi="Arial"/>
        </w:rPr>
      </w:pPr>
      <w:bookmarkStart w:id="16" w:name="_Toc359574757"/>
      <w:r w:rsidRPr="00122AA1">
        <w:rPr>
          <w:rFonts w:ascii="Arial" w:hAnsi="Arial"/>
        </w:rPr>
        <w:t>Digital identity a</w:t>
      </w:r>
      <w:r w:rsidR="00B14269" w:rsidRPr="00122AA1">
        <w:rPr>
          <w:rFonts w:ascii="Arial" w:hAnsi="Arial"/>
        </w:rPr>
        <w:t>n</w:t>
      </w:r>
      <w:r w:rsidRPr="00122AA1">
        <w:rPr>
          <w:rFonts w:ascii="Arial" w:hAnsi="Arial"/>
        </w:rPr>
        <w:t xml:space="preserve"> </w:t>
      </w:r>
      <w:r w:rsidR="00B14269" w:rsidRPr="00122AA1">
        <w:rPr>
          <w:rFonts w:ascii="Arial" w:hAnsi="Arial"/>
        </w:rPr>
        <w:t>enduring</w:t>
      </w:r>
      <w:r w:rsidRPr="00122AA1">
        <w:rPr>
          <w:rFonts w:ascii="Arial" w:hAnsi="Arial"/>
        </w:rPr>
        <w:t xml:space="preserve"> concept</w:t>
      </w:r>
      <w:bookmarkEnd w:id="16"/>
    </w:p>
    <w:p w:rsidR="00A02CF1" w:rsidRPr="00122AA1" w:rsidRDefault="006035B3" w:rsidP="004A1FAC">
      <w:pPr>
        <w:rPr>
          <w:rFonts w:ascii="Arial" w:hAnsi="Arial" w:cs="Arial"/>
        </w:rPr>
      </w:pPr>
      <w:r w:rsidRPr="00122AA1">
        <w:rPr>
          <w:rFonts w:ascii="Arial" w:hAnsi="Arial" w:cs="Arial"/>
        </w:rPr>
        <w:t>C</w:t>
      </w:r>
      <w:r w:rsidR="00B676E2" w:rsidRPr="00122AA1">
        <w:rPr>
          <w:rFonts w:ascii="Arial" w:hAnsi="Arial" w:cs="Arial"/>
        </w:rPr>
        <w:t xml:space="preserve">itizens are establishing digital identities comprised of the credentials they use to identify themselves to service providers and the digital footprints </w:t>
      </w:r>
      <w:r w:rsidRPr="00122AA1">
        <w:rPr>
          <w:rFonts w:ascii="Arial" w:hAnsi="Arial" w:cs="Arial"/>
        </w:rPr>
        <w:t xml:space="preserve">that are created as a by-product of their various online interactions. </w:t>
      </w:r>
      <w:r w:rsidR="00D04F60" w:rsidRPr="00122AA1">
        <w:rPr>
          <w:rFonts w:ascii="Arial" w:hAnsi="Arial" w:cs="Arial"/>
        </w:rPr>
        <w:t>Individuals may maintain several digital identities, each to be used in specific transactional, professional or social contexts.</w:t>
      </w:r>
    </w:p>
    <w:p w:rsidR="00513309" w:rsidRPr="00122AA1" w:rsidRDefault="00513309" w:rsidP="004A1FAC">
      <w:pPr>
        <w:rPr>
          <w:rFonts w:ascii="Arial" w:hAnsi="Arial" w:cs="Arial"/>
        </w:rPr>
      </w:pPr>
    </w:p>
    <w:p w:rsidR="00513309" w:rsidRPr="00122AA1" w:rsidRDefault="00C06615" w:rsidP="00513309">
      <w:pPr>
        <w:rPr>
          <w:rFonts w:ascii="Arial" w:hAnsi="Arial" w:cs="Arial"/>
        </w:rPr>
      </w:pPr>
      <w:r w:rsidRPr="00122AA1">
        <w:rPr>
          <w:rFonts w:ascii="Arial" w:hAnsi="Arial" w:cs="Arial"/>
        </w:rPr>
        <w:t>R</w:t>
      </w:r>
      <w:r w:rsidR="00513309" w:rsidRPr="00122AA1">
        <w:rPr>
          <w:rFonts w:ascii="Arial" w:hAnsi="Arial" w:cs="Arial"/>
        </w:rPr>
        <w:t xml:space="preserve">esearch participants </w:t>
      </w:r>
      <w:r w:rsidR="00F369D5" w:rsidRPr="00122AA1">
        <w:rPr>
          <w:rFonts w:ascii="Arial" w:hAnsi="Arial" w:cs="Arial"/>
        </w:rPr>
        <w:t xml:space="preserve">valued maintaining a </w:t>
      </w:r>
      <w:r w:rsidR="00513309" w:rsidRPr="00122AA1">
        <w:rPr>
          <w:rFonts w:ascii="Arial" w:hAnsi="Arial" w:cs="Arial"/>
        </w:rPr>
        <w:t>separation between their name and their physical appearance in the online environment. More than half (53 per cent) said that they will never give inaccurate information about themselves online</w:t>
      </w:r>
      <w:r w:rsidR="0063443F" w:rsidRPr="00122AA1">
        <w:rPr>
          <w:rFonts w:ascii="Arial" w:hAnsi="Arial" w:cs="Arial"/>
        </w:rPr>
        <w:t>. M</w:t>
      </w:r>
      <w:r w:rsidR="00513309" w:rsidRPr="00122AA1">
        <w:rPr>
          <w:rFonts w:ascii="Arial" w:hAnsi="Arial" w:cs="Arial"/>
        </w:rPr>
        <w:t>ore than two-thirds of those indicat</w:t>
      </w:r>
      <w:r w:rsidR="0063443F" w:rsidRPr="00122AA1">
        <w:rPr>
          <w:rFonts w:ascii="Arial" w:hAnsi="Arial" w:cs="Arial"/>
        </w:rPr>
        <w:t>ed that</w:t>
      </w:r>
      <w:r w:rsidR="00513309" w:rsidRPr="00122AA1">
        <w:rPr>
          <w:rFonts w:ascii="Arial" w:hAnsi="Arial" w:cs="Arial"/>
        </w:rPr>
        <w:t xml:space="preserve"> they would simply cho</w:t>
      </w:r>
      <w:r w:rsidRPr="00122AA1">
        <w:rPr>
          <w:rFonts w:ascii="Arial" w:hAnsi="Arial" w:cs="Arial"/>
        </w:rPr>
        <w:t>o</w:t>
      </w:r>
      <w:r w:rsidR="00513309" w:rsidRPr="00122AA1">
        <w:rPr>
          <w:rFonts w:ascii="Arial" w:hAnsi="Arial" w:cs="Arial"/>
        </w:rPr>
        <w:t>se not to log</w:t>
      </w:r>
      <w:r w:rsidR="0063443F" w:rsidRPr="00122AA1">
        <w:rPr>
          <w:rFonts w:ascii="Arial" w:hAnsi="Arial" w:cs="Arial"/>
        </w:rPr>
        <w:t xml:space="preserve"> </w:t>
      </w:r>
      <w:r w:rsidR="00513309" w:rsidRPr="00122AA1">
        <w:rPr>
          <w:rFonts w:ascii="Arial" w:hAnsi="Arial" w:cs="Arial"/>
        </w:rPr>
        <w:t>in or register for a service</w:t>
      </w:r>
      <w:r w:rsidR="0063443F" w:rsidRPr="00122AA1">
        <w:rPr>
          <w:rFonts w:ascii="Arial" w:hAnsi="Arial" w:cs="Arial"/>
        </w:rPr>
        <w:t>,</w:t>
      </w:r>
      <w:r w:rsidR="00513309" w:rsidRPr="00122AA1">
        <w:rPr>
          <w:rFonts w:ascii="Arial" w:hAnsi="Arial" w:cs="Arial"/>
        </w:rPr>
        <w:t xml:space="preserve"> if they had concerns about the information requested. </w:t>
      </w:r>
    </w:p>
    <w:p w:rsidR="00513309" w:rsidRPr="00122AA1" w:rsidRDefault="00513309" w:rsidP="00513309">
      <w:pPr>
        <w:rPr>
          <w:rFonts w:ascii="Arial" w:hAnsi="Arial" w:cs="Arial"/>
        </w:rPr>
      </w:pPr>
    </w:p>
    <w:tbl>
      <w:tblPr>
        <w:tblW w:w="9645" w:type="dxa"/>
        <w:tblLayout w:type="fixed"/>
        <w:tblCellMar>
          <w:left w:w="0" w:type="dxa"/>
          <w:right w:w="0" w:type="dxa"/>
        </w:tblCellMar>
        <w:tblLook w:val="01E0"/>
      </w:tblPr>
      <w:tblGrid>
        <w:gridCol w:w="9645"/>
      </w:tblGrid>
      <w:tr w:rsidR="000162EB" w:rsidRPr="00122AA1">
        <w:trPr>
          <w:trHeight w:val="570"/>
        </w:trPr>
        <w:tc>
          <w:tcPr>
            <w:tcW w:w="9645" w:type="dxa"/>
            <w:tcBorders>
              <w:top w:val="single" w:sz="2" w:space="0" w:color="505050"/>
            </w:tcBorders>
            <w:shd w:val="clear" w:color="auto" w:fill="auto"/>
            <w:vAlign w:val="center"/>
          </w:tcPr>
          <w:p w:rsidR="000162EB" w:rsidRPr="00122AA1" w:rsidRDefault="000162EB" w:rsidP="000162EB">
            <w:pPr>
              <w:pStyle w:val="Caption"/>
              <w:keepNext/>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6</w:t>
            </w:r>
            <w:r w:rsidR="00302C7D" w:rsidRPr="00122AA1">
              <w:rPr>
                <w:rFonts w:ascii="Arial" w:hAnsi="Arial" w:cs="Arial"/>
              </w:rPr>
              <w:fldChar w:fldCharType="end"/>
            </w:r>
            <w:r w:rsidRPr="00122AA1">
              <w:rPr>
                <w:rFonts w:ascii="Arial" w:hAnsi="Arial" w:cs="Arial"/>
              </w:rPr>
              <w:t xml:space="preserve"> When participants would give inaccurate information</w:t>
            </w:r>
          </w:p>
        </w:tc>
      </w:tr>
      <w:tr w:rsidR="000162EB" w:rsidRPr="00122AA1">
        <w:trPr>
          <w:trHeight w:val="3086"/>
        </w:trPr>
        <w:tc>
          <w:tcPr>
            <w:tcW w:w="9645" w:type="dxa"/>
            <w:shd w:val="clear" w:color="auto" w:fill="auto"/>
            <w:tcMar>
              <w:left w:w="28" w:type="dxa"/>
            </w:tcMar>
          </w:tcPr>
          <w:p w:rsidR="000162EB" w:rsidRPr="00122AA1" w:rsidRDefault="000162EB">
            <w:pPr>
              <w:rPr>
                <w:rFonts w:ascii="Arial" w:hAnsi="Arial" w:cs="Arial"/>
              </w:rPr>
            </w:pPr>
            <w:r w:rsidRPr="00122AA1">
              <w:rPr>
                <w:rFonts w:ascii="Arial" w:hAnsi="Arial" w:cs="Arial"/>
                <w:noProof/>
              </w:rPr>
              <w:drawing>
                <wp:inline distT="0" distB="0" distL="0" distR="0">
                  <wp:extent cx="4572762" cy="2746629"/>
                  <wp:effectExtent l="0" t="0" r="0" b="0"/>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162EB" w:rsidRPr="00122AA1">
        <w:trPr>
          <w:trHeight w:val="291"/>
        </w:trPr>
        <w:tc>
          <w:tcPr>
            <w:tcW w:w="9645" w:type="dxa"/>
            <w:tcBorders>
              <w:bottom w:val="single" w:sz="2" w:space="0" w:color="505050"/>
            </w:tcBorders>
            <w:shd w:val="clear" w:color="auto" w:fill="auto"/>
          </w:tcPr>
          <w:p w:rsidR="000162EB" w:rsidRPr="00122AA1" w:rsidRDefault="000162EB" w:rsidP="000162EB">
            <w:pPr>
              <w:pStyle w:val="Caption"/>
              <w:rPr>
                <w:rFonts w:ascii="Arial" w:hAnsi="Arial" w:cs="Arial"/>
                <w:i/>
              </w:rPr>
            </w:pPr>
            <w:r w:rsidRPr="00122AA1">
              <w:rPr>
                <w:rFonts w:ascii="Arial" w:hAnsi="Arial" w:cs="Arial"/>
                <w:b w:val="0"/>
                <w:bCs w:val="0"/>
                <w:i/>
                <w:color w:val="auto"/>
                <w:sz w:val="16"/>
                <w:szCs w:val="16"/>
              </w:rPr>
              <w:t>Source: Taverner Research for ACMA, 2013.</w:t>
            </w:r>
          </w:p>
        </w:tc>
      </w:tr>
    </w:tbl>
    <w:p w:rsidR="000162EB" w:rsidRPr="00122AA1" w:rsidRDefault="000162EB" w:rsidP="00513309">
      <w:pPr>
        <w:rPr>
          <w:rFonts w:ascii="Arial" w:hAnsi="Arial" w:cs="Arial"/>
        </w:rPr>
      </w:pPr>
    </w:p>
    <w:p w:rsidR="00513309" w:rsidRPr="00122AA1" w:rsidRDefault="00513309" w:rsidP="00513309">
      <w:pPr>
        <w:rPr>
          <w:rFonts w:ascii="Arial" w:hAnsi="Arial" w:cs="Arial"/>
        </w:rPr>
      </w:pPr>
      <w:r w:rsidRPr="00122AA1">
        <w:rPr>
          <w:rFonts w:ascii="Arial" w:hAnsi="Arial" w:cs="Arial"/>
        </w:rPr>
        <w:t>The 47 per cent of respondents who acknowledged that they will sometimes provide inaccurate information were ask</w:t>
      </w:r>
      <w:r w:rsidR="00ED5A4E" w:rsidRPr="00122AA1">
        <w:rPr>
          <w:rFonts w:ascii="Arial" w:hAnsi="Arial" w:cs="Arial"/>
        </w:rPr>
        <w:t xml:space="preserve">ed their reasons for doing so. </w:t>
      </w:r>
      <w:r w:rsidRPr="00122AA1">
        <w:rPr>
          <w:rFonts w:ascii="Arial" w:hAnsi="Arial" w:cs="Arial"/>
        </w:rPr>
        <w:t>Relevance (</w:t>
      </w:r>
      <w:r w:rsidR="0063443F" w:rsidRPr="00122AA1">
        <w:rPr>
          <w:rFonts w:ascii="Arial" w:hAnsi="Arial" w:cs="Arial"/>
        </w:rPr>
        <w:t>‘</w:t>
      </w:r>
      <w:r w:rsidRPr="00122AA1">
        <w:rPr>
          <w:rFonts w:ascii="Arial" w:hAnsi="Arial" w:cs="Arial"/>
        </w:rPr>
        <w:t>I do not see why the information is needed for this site/service</w:t>
      </w:r>
      <w:r w:rsidR="001B0C32" w:rsidRPr="00122AA1">
        <w:rPr>
          <w:rFonts w:ascii="Arial" w:hAnsi="Arial" w:cs="Arial"/>
        </w:rPr>
        <w:t>’</w:t>
      </w:r>
      <w:r w:rsidRPr="00122AA1">
        <w:rPr>
          <w:rFonts w:ascii="Arial" w:hAnsi="Arial" w:cs="Arial"/>
        </w:rPr>
        <w:t>) is the strongest driver to provide inaccurate information</w:t>
      </w:r>
      <w:r w:rsidR="00C06615" w:rsidRPr="00122AA1">
        <w:rPr>
          <w:rFonts w:ascii="Arial" w:hAnsi="Arial" w:cs="Arial"/>
        </w:rPr>
        <w:t>,</w:t>
      </w:r>
      <w:r w:rsidRPr="00122AA1">
        <w:rPr>
          <w:rFonts w:ascii="Arial" w:hAnsi="Arial" w:cs="Arial"/>
        </w:rPr>
        <w:t xml:space="preserve"> but security and transparency are also important.</w:t>
      </w:r>
    </w:p>
    <w:p w:rsidR="00513309" w:rsidRPr="00122AA1" w:rsidRDefault="00513309" w:rsidP="00513309">
      <w:pPr>
        <w:rPr>
          <w:rFonts w:ascii="Arial" w:hAnsi="Arial" w:cs="Arial"/>
        </w:rPr>
      </w:pPr>
    </w:p>
    <w:tbl>
      <w:tblPr>
        <w:tblW w:w="9645" w:type="dxa"/>
        <w:tblLayout w:type="fixed"/>
        <w:tblCellMar>
          <w:left w:w="0" w:type="dxa"/>
          <w:right w:w="0" w:type="dxa"/>
        </w:tblCellMar>
        <w:tblLook w:val="01E0"/>
      </w:tblPr>
      <w:tblGrid>
        <w:gridCol w:w="9645"/>
      </w:tblGrid>
      <w:tr w:rsidR="000162EB" w:rsidRPr="00122AA1">
        <w:trPr>
          <w:trHeight w:val="570"/>
        </w:trPr>
        <w:tc>
          <w:tcPr>
            <w:tcW w:w="9645" w:type="dxa"/>
            <w:tcBorders>
              <w:top w:val="single" w:sz="2" w:space="0" w:color="505050"/>
            </w:tcBorders>
            <w:shd w:val="clear" w:color="auto" w:fill="auto"/>
            <w:vAlign w:val="center"/>
          </w:tcPr>
          <w:p w:rsidR="000162EB" w:rsidRPr="00122AA1" w:rsidRDefault="000162EB">
            <w:pPr>
              <w:pStyle w:val="Caption"/>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7</w:t>
            </w:r>
            <w:r w:rsidR="00302C7D" w:rsidRPr="00122AA1">
              <w:rPr>
                <w:rFonts w:ascii="Arial" w:hAnsi="Arial" w:cs="Arial"/>
              </w:rPr>
              <w:fldChar w:fldCharType="end"/>
            </w:r>
            <w:r w:rsidRPr="00122AA1">
              <w:rPr>
                <w:rFonts w:ascii="Arial" w:hAnsi="Arial" w:cs="Arial"/>
              </w:rPr>
              <w:t xml:space="preserve"> Reasons participants had given inaccurate information</w:t>
            </w:r>
          </w:p>
        </w:tc>
      </w:tr>
      <w:tr w:rsidR="000162EB" w:rsidRPr="00122AA1">
        <w:trPr>
          <w:trHeight w:val="3086"/>
        </w:trPr>
        <w:tc>
          <w:tcPr>
            <w:tcW w:w="9645" w:type="dxa"/>
            <w:shd w:val="clear" w:color="auto" w:fill="auto"/>
            <w:tcMar>
              <w:left w:w="28" w:type="dxa"/>
            </w:tcMar>
          </w:tcPr>
          <w:p w:rsidR="000162EB" w:rsidRPr="00122AA1" w:rsidRDefault="000162EB">
            <w:pPr>
              <w:rPr>
                <w:rFonts w:ascii="Arial" w:hAnsi="Arial" w:cs="Arial"/>
              </w:rPr>
            </w:pPr>
            <w:r w:rsidRPr="00122AA1">
              <w:rPr>
                <w:rFonts w:ascii="Arial" w:hAnsi="Arial" w:cs="Arial"/>
                <w:noProof/>
              </w:rPr>
              <w:drawing>
                <wp:inline distT="0" distB="0" distL="0" distR="0">
                  <wp:extent cx="4572762" cy="2746629"/>
                  <wp:effectExtent l="0" t="0" r="0" b="0"/>
                  <wp:docPr id="1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162EB" w:rsidRPr="00122AA1">
        <w:trPr>
          <w:trHeight w:val="291"/>
        </w:trPr>
        <w:tc>
          <w:tcPr>
            <w:tcW w:w="9645" w:type="dxa"/>
            <w:tcBorders>
              <w:bottom w:val="single" w:sz="2" w:space="0" w:color="505050"/>
            </w:tcBorders>
            <w:shd w:val="clear" w:color="auto" w:fill="auto"/>
          </w:tcPr>
          <w:p w:rsidR="000162EB" w:rsidRPr="00122AA1" w:rsidRDefault="000162EB">
            <w:pPr>
              <w:rPr>
                <w:rFonts w:ascii="Arial" w:hAnsi="Arial" w:cs="Arial"/>
                <w:i/>
              </w:rPr>
            </w:pPr>
            <w:r w:rsidRPr="00122AA1">
              <w:rPr>
                <w:rFonts w:ascii="Arial" w:hAnsi="Arial" w:cs="Arial"/>
                <w:bCs/>
                <w:i/>
                <w:sz w:val="16"/>
                <w:szCs w:val="16"/>
              </w:rPr>
              <w:t>Source: Taverner Research for ACMA, 2013.</w:t>
            </w:r>
          </w:p>
        </w:tc>
      </w:tr>
    </w:tbl>
    <w:p w:rsidR="000162EB" w:rsidRPr="00122AA1" w:rsidRDefault="000162EB" w:rsidP="00513309">
      <w:pPr>
        <w:rPr>
          <w:rFonts w:ascii="Arial" w:hAnsi="Arial" w:cs="Arial"/>
        </w:rPr>
      </w:pPr>
    </w:p>
    <w:p w:rsidR="00B876A8" w:rsidRPr="00122AA1" w:rsidRDefault="00C06615" w:rsidP="00C06615">
      <w:pPr>
        <w:spacing w:line="240" w:lineRule="auto"/>
        <w:rPr>
          <w:rFonts w:ascii="Arial" w:hAnsi="Arial" w:cs="Arial"/>
        </w:rPr>
      </w:pPr>
      <w:r w:rsidRPr="00122AA1">
        <w:rPr>
          <w:rFonts w:ascii="Arial" w:hAnsi="Arial" w:cs="Arial"/>
        </w:rPr>
        <w:t>At least three-quarters of research participants sa</w:t>
      </w:r>
      <w:r w:rsidR="001B0C32" w:rsidRPr="00122AA1">
        <w:rPr>
          <w:rFonts w:ascii="Arial" w:hAnsi="Arial" w:cs="Arial"/>
        </w:rPr>
        <w:t>i</w:t>
      </w:r>
      <w:r w:rsidRPr="00122AA1">
        <w:rPr>
          <w:rFonts w:ascii="Arial" w:hAnsi="Arial" w:cs="Arial"/>
        </w:rPr>
        <w:t>d that they would stop using an online site if it mishandled their health information, email address, phone number, photograph or credit card details.</w:t>
      </w:r>
      <w:r w:rsidR="00DB052E" w:rsidRPr="00122AA1">
        <w:rPr>
          <w:rFonts w:ascii="Arial" w:hAnsi="Arial" w:cs="Arial"/>
        </w:rPr>
        <w:t xml:space="preserve"> </w:t>
      </w:r>
    </w:p>
    <w:p w:rsidR="00B876A8" w:rsidRPr="00122AA1" w:rsidRDefault="00B876A8" w:rsidP="00C06615">
      <w:pPr>
        <w:spacing w:line="240" w:lineRule="auto"/>
        <w:rPr>
          <w:rFonts w:ascii="Arial" w:hAnsi="Arial" w:cs="Arial"/>
        </w:rPr>
      </w:pPr>
    </w:p>
    <w:p w:rsidR="00331B4E" w:rsidRPr="00122AA1" w:rsidRDefault="00B876A8" w:rsidP="000162EB">
      <w:pPr>
        <w:keepNext/>
        <w:spacing w:after="80"/>
        <w:rPr>
          <w:rFonts w:ascii="Arial" w:hAnsi="Arial" w:cs="Arial"/>
        </w:rPr>
      </w:pPr>
      <w:r w:rsidRPr="00122AA1">
        <w:rPr>
          <w:rFonts w:ascii="Arial" w:hAnsi="Arial" w:cs="Arial"/>
        </w:rPr>
        <w:t>There is also relatively limited use of existing social media-based trusted identity mechanisms t</w:t>
      </w:r>
      <w:r w:rsidR="00ED5A4E" w:rsidRPr="00122AA1">
        <w:rPr>
          <w:rFonts w:ascii="Arial" w:hAnsi="Arial" w:cs="Arial"/>
        </w:rPr>
        <w:t>o date.</w:t>
      </w:r>
      <w:r w:rsidRPr="00122AA1">
        <w:rPr>
          <w:rFonts w:ascii="Arial" w:hAnsi="Arial" w:cs="Arial"/>
        </w:rPr>
        <w:t xml:space="preserve"> While over 80 per cent of individuals are aware of such mechanisms, fewer</w:t>
      </w:r>
      <w:r w:rsidR="00ED5A4E" w:rsidRPr="00122AA1">
        <w:rPr>
          <w:rFonts w:ascii="Arial" w:hAnsi="Arial" w:cs="Arial"/>
        </w:rPr>
        <w:t xml:space="preserve"> than one-in-four has used one.</w:t>
      </w:r>
      <w:r w:rsidRPr="00122AA1">
        <w:rPr>
          <w:rFonts w:ascii="Arial" w:hAnsi="Arial" w:cs="Arial"/>
        </w:rPr>
        <w:t xml:space="preserve"> Reasons for not using such mechanisms include</w:t>
      </w:r>
      <w:r w:rsidR="001B0C32" w:rsidRPr="00122AA1">
        <w:rPr>
          <w:rFonts w:ascii="Arial" w:hAnsi="Arial" w:cs="Arial"/>
        </w:rPr>
        <w:t>:</w:t>
      </w:r>
      <w:r w:rsidRPr="00122AA1">
        <w:rPr>
          <w:rFonts w:ascii="Arial" w:hAnsi="Arial" w:cs="Arial"/>
        </w:rPr>
        <w:t xml:space="preserve"> </w:t>
      </w:r>
    </w:p>
    <w:p w:rsidR="001B0C32" w:rsidRPr="00122AA1" w:rsidRDefault="00B876A8" w:rsidP="000162EB">
      <w:pPr>
        <w:pStyle w:val="ListBullet"/>
        <w:rPr>
          <w:rFonts w:ascii="Arial" w:hAnsi="Arial" w:cs="Arial"/>
        </w:rPr>
      </w:pPr>
      <w:r w:rsidRPr="00122AA1">
        <w:rPr>
          <w:rFonts w:ascii="Arial" w:hAnsi="Arial" w:cs="Arial"/>
        </w:rPr>
        <w:t>a preference for keeping activities on different sites separate (45 per cent)</w:t>
      </w:r>
    </w:p>
    <w:p w:rsidR="001B0C32" w:rsidRPr="00122AA1" w:rsidRDefault="00B876A8" w:rsidP="000162EB">
      <w:pPr>
        <w:pStyle w:val="ListBullet"/>
        <w:rPr>
          <w:rFonts w:ascii="Arial" w:hAnsi="Arial" w:cs="Arial"/>
        </w:rPr>
      </w:pPr>
      <w:r w:rsidRPr="00122AA1">
        <w:rPr>
          <w:rFonts w:ascii="Arial" w:hAnsi="Arial" w:cs="Arial"/>
        </w:rPr>
        <w:t>concern that personal information will be shared across multiple sites (36 per cent)</w:t>
      </w:r>
    </w:p>
    <w:p w:rsidR="001B0C32" w:rsidRPr="00122AA1" w:rsidRDefault="001B0C32" w:rsidP="000162EB">
      <w:pPr>
        <w:pStyle w:val="ListBullet"/>
        <w:rPr>
          <w:rFonts w:ascii="Arial" w:hAnsi="Arial" w:cs="Arial"/>
        </w:rPr>
      </w:pPr>
      <w:r w:rsidRPr="00122AA1">
        <w:rPr>
          <w:rFonts w:ascii="Arial" w:hAnsi="Arial" w:cs="Arial"/>
        </w:rPr>
        <w:t xml:space="preserve">a </w:t>
      </w:r>
      <w:r w:rsidR="00B876A8" w:rsidRPr="00122AA1">
        <w:rPr>
          <w:rFonts w:ascii="Arial" w:hAnsi="Arial" w:cs="Arial"/>
        </w:rPr>
        <w:t>perceived lack of control o</w:t>
      </w:r>
      <w:r w:rsidRPr="00122AA1">
        <w:rPr>
          <w:rFonts w:ascii="Arial" w:hAnsi="Arial" w:cs="Arial"/>
        </w:rPr>
        <w:t>f</w:t>
      </w:r>
      <w:r w:rsidR="00B876A8" w:rsidRPr="00122AA1">
        <w:rPr>
          <w:rFonts w:ascii="Arial" w:hAnsi="Arial" w:cs="Arial"/>
        </w:rPr>
        <w:t xml:space="preserve"> how personal information is used (35 per cent)</w:t>
      </w:r>
    </w:p>
    <w:p w:rsidR="001B0C32" w:rsidRPr="00122AA1" w:rsidRDefault="00B876A8" w:rsidP="000162EB">
      <w:pPr>
        <w:pStyle w:val="ListBullet"/>
        <w:rPr>
          <w:rFonts w:ascii="Arial" w:hAnsi="Arial" w:cs="Arial"/>
        </w:rPr>
      </w:pPr>
      <w:r w:rsidRPr="00122AA1">
        <w:rPr>
          <w:rFonts w:ascii="Arial" w:hAnsi="Arial" w:cs="Arial"/>
        </w:rPr>
        <w:t>concern that the identity provider will track activity on other sites (31 per cent)</w:t>
      </w:r>
    </w:p>
    <w:p w:rsidR="00B876A8" w:rsidRPr="00122AA1" w:rsidRDefault="00B876A8" w:rsidP="000162EB">
      <w:pPr>
        <w:pStyle w:val="ListBullet"/>
        <w:spacing w:after="240"/>
        <w:rPr>
          <w:rFonts w:ascii="Arial" w:hAnsi="Arial" w:cs="Arial"/>
        </w:rPr>
      </w:pPr>
      <w:r w:rsidRPr="00122AA1">
        <w:rPr>
          <w:rFonts w:ascii="Arial" w:hAnsi="Arial" w:cs="Arial"/>
        </w:rPr>
        <w:t>a perception that the t</w:t>
      </w:r>
      <w:r w:rsidR="00ED5A4E" w:rsidRPr="00122AA1">
        <w:rPr>
          <w:rFonts w:ascii="Arial" w:hAnsi="Arial" w:cs="Arial"/>
        </w:rPr>
        <w:t>rusted identity is not secure.</w:t>
      </w:r>
    </w:p>
    <w:p w:rsidR="00513309" w:rsidRPr="00122AA1" w:rsidRDefault="00B876A8" w:rsidP="00193BC4">
      <w:pPr>
        <w:spacing w:after="240"/>
        <w:rPr>
          <w:rFonts w:ascii="Arial" w:hAnsi="Arial" w:cs="Arial"/>
        </w:rPr>
      </w:pPr>
      <w:r w:rsidRPr="00122AA1">
        <w:rPr>
          <w:rFonts w:ascii="Arial" w:hAnsi="Arial" w:cs="Arial"/>
        </w:rPr>
        <w:t>To the extent that some of these concerns may be unfounded, the research findings point to the need for citizens to have better information about the potential bene</w:t>
      </w:r>
      <w:r w:rsidR="00ED5A4E" w:rsidRPr="00122AA1">
        <w:rPr>
          <w:rFonts w:ascii="Arial" w:hAnsi="Arial" w:cs="Arial"/>
        </w:rPr>
        <w:t>fits of trusted identity tools.</w:t>
      </w:r>
      <w:r w:rsidRPr="00122AA1">
        <w:rPr>
          <w:rFonts w:ascii="Arial" w:hAnsi="Arial" w:cs="Arial"/>
        </w:rPr>
        <w:t xml:space="preserve"> This could include a clearer explanation </w:t>
      </w:r>
      <w:r w:rsidR="001B0C32" w:rsidRPr="00122AA1">
        <w:rPr>
          <w:rFonts w:ascii="Arial" w:hAnsi="Arial" w:cs="Arial"/>
        </w:rPr>
        <w:t xml:space="preserve">about how </w:t>
      </w:r>
      <w:r w:rsidRPr="00122AA1">
        <w:rPr>
          <w:rFonts w:ascii="Arial" w:hAnsi="Arial" w:cs="Arial"/>
        </w:rPr>
        <w:t>using a trusted identity measure would safeguard a user’s personal information when the user</w:t>
      </w:r>
      <w:r w:rsidR="00ED5A4E" w:rsidRPr="00122AA1">
        <w:rPr>
          <w:rFonts w:ascii="Arial" w:hAnsi="Arial" w:cs="Arial"/>
        </w:rPr>
        <w:t xml:space="preserve"> is presented with this option.</w:t>
      </w:r>
      <w:r w:rsidRPr="00122AA1">
        <w:rPr>
          <w:rFonts w:ascii="Arial" w:hAnsi="Arial" w:cs="Arial"/>
        </w:rPr>
        <w:t xml:space="preserve"> </w:t>
      </w:r>
    </w:p>
    <w:p w:rsidR="00C06615" w:rsidRPr="00122AA1" w:rsidRDefault="00C06615" w:rsidP="00C06615">
      <w:pPr>
        <w:pStyle w:val="Heading2"/>
        <w:rPr>
          <w:rFonts w:ascii="Arial" w:hAnsi="Arial"/>
        </w:rPr>
      </w:pPr>
      <w:bookmarkStart w:id="17" w:name="_Toc359574758"/>
      <w:r w:rsidRPr="00122AA1">
        <w:rPr>
          <w:rFonts w:ascii="Arial" w:hAnsi="Arial"/>
        </w:rPr>
        <w:t>Citizens have concerns about electronic intrusions</w:t>
      </w:r>
      <w:bookmarkEnd w:id="17"/>
    </w:p>
    <w:p w:rsidR="00C06615" w:rsidRPr="00122AA1" w:rsidRDefault="001B0C32" w:rsidP="00C06615">
      <w:pPr>
        <w:rPr>
          <w:rFonts w:ascii="Arial" w:hAnsi="Arial" w:cs="Arial"/>
        </w:rPr>
      </w:pPr>
      <w:r w:rsidRPr="00122AA1">
        <w:rPr>
          <w:rFonts w:ascii="Arial" w:hAnsi="Arial" w:cs="Arial"/>
        </w:rPr>
        <w:t xml:space="preserve">Many citizens perceive unwanted electronic contact to be an invasion of privacy </w:t>
      </w:r>
      <w:r w:rsidR="00C06615" w:rsidRPr="00122AA1">
        <w:rPr>
          <w:rFonts w:ascii="Arial" w:hAnsi="Arial" w:cs="Arial"/>
        </w:rPr>
        <w:t xml:space="preserve">In the same way that </w:t>
      </w:r>
      <w:r w:rsidRPr="00122AA1">
        <w:rPr>
          <w:rFonts w:ascii="Arial" w:hAnsi="Arial" w:cs="Arial"/>
        </w:rPr>
        <w:t xml:space="preserve">they </w:t>
      </w:r>
      <w:r w:rsidR="00C06615" w:rsidRPr="00122AA1">
        <w:rPr>
          <w:rFonts w:ascii="Arial" w:hAnsi="Arial" w:cs="Arial"/>
        </w:rPr>
        <w:t>may be concerned about unwanted physical contact and physical intrusions into their personal space.</w:t>
      </w:r>
    </w:p>
    <w:p w:rsidR="00C06615" w:rsidRPr="00122AA1" w:rsidRDefault="00C06615" w:rsidP="000162EB">
      <w:pPr>
        <w:rPr>
          <w:rFonts w:ascii="Arial" w:hAnsi="Arial" w:cs="Arial"/>
        </w:rPr>
      </w:pPr>
    </w:p>
    <w:p w:rsidR="00C06615" w:rsidRPr="00122AA1" w:rsidRDefault="001B0C32" w:rsidP="000162EB">
      <w:pPr>
        <w:rPr>
          <w:rFonts w:ascii="Arial" w:hAnsi="Arial" w:cs="Arial"/>
        </w:rPr>
      </w:pPr>
      <w:r w:rsidRPr="00122AA1">
        <w:rPr>
          <w:rFonts w:ascii="Arial" w:hAnsi="Arial" w:cs="Arial"/>
        </w:rPr>
        <w:t xml:space="preserve">In a </w:t>
      </w:r>
      <w:r w:rsidR="00C06615" w:rsidRPr="00122AA1">
        <w:rPr>
          <w:rFonts w:ascii="Arial" w:hAnsi="Arial" w:cs="Arial"/>
        </w:rPr>
        <w:t>recent survey of Australians’ security concerns, unauthorised access to or misuse of personal data was the top concern identified by 62 per cent of those surveyed.</w:t>
      </w:r>
      <w:r w:rsidR="00C06615" w:rsidRPr="00122AA1">
        <w:rPr>
          <w:rFonts w:ascii="Arial" w:hAnsi="Arial" w:cs="Arial"/>
          <w:vertAlign w:val="superscript"/>
        </w:rPr>
        <w:footnoteReference w:id="21"/>
      </w:r>
      <w:r w:rsidR="00C06615" w:rsidRPr="00122AA1">
        <w:rPr>
          <w:rFonts w:ascii="Arial" w:hAnsi="Arial" w:cs="Arial"/>
        </w:rPr>
        <w:t xml:space="preserve"> </w:t>
      </w:r>
      <w:r w:rsidR="00472167" w:rsidRPr="00122AA1">
        <w:rPr>
          <w:rFonts w:ascii="Arial" w:hAnsi="Arial" w:cs="Arial"/>
        </w:rPr>
        <w:t xml:space="preserve">Their </w:t>
      </w:r>
      <w:r w:rsidR="00C06615" w:rsidRPr="00122AA1">
        <w:rPr>
          <w:rFonts w:ascii="Arial" w:hAnsi="Arial" w:cs="Arial"/>
        </w:rPr>
        <w:t>concerns spanned a range of industry sectors, but were concentrated in telecommunications and financial services.</w:t>
      </w:r>
      <w:r w:rsidR="00C06615" w:rsidRPr="00122AA1">
        <w:rPr>
          <w:rStyle w:val="FootnoteReference"/>
          <w:rFonts w:cs="Arial"/>
        </w:rPr>
        <w:footnoteReference w:id="22"/>
      </w:r>
      <w:r w:rsidR="00C06615" w:rsidRPr="00122AA1">
        <w:rPr>
          <w:rFonts w:ascii="Arial" w:hAnsi="Arial" w:cs="Arial"/>
        </w:rPr>
        <w:t xml:space="preserve"> </w:t>
      </w:r>
    </w:p>
    <w:p w:rsidR="000162EB" w:rsidRPr="00122AA1" w:rsidRDefault="000162EB" w:rsidP="000162EB">
      <w:pPr>
        <w:rPr>
          <w:rFonts w:ascii="Arial" w:hAnsi="Arial" w:cs="Arial"/>
        </w:rPr>
      </w:pPr>
    </w:p>
    <w:p w:rsidR="00035C81" w:rsidRPr="00122AA1" w:rsidRDefault="00C06615" w:rsidP="000162EB">
      <w:pPr>
        <w:rPr>
          <w:rFonts w:ascii="Arial" w:hAnsi="Arial" w:cs="Arial"/>
        </w:rPr>
      </w:pPr>
      <w:r w:rsidRPr="00122AA1">
        <w:rPr>
          <w:rFonts w:ascii="Arial" w:hAnsi="Arial" w:cs="Arial"/>
        </w:rPr>
        <w:t>In the ACMA’s r</w:t>
      </w:r>
      <w:r w:rsidR="00513309" w:rsidRPr="00122AA1">
        <w:rPr>
          <w:rFonts w:ascii="Arial" w:hAnsi="Arial" w:cs="Arial"/>
        </w:rPr>
        <w:t>esearch</w:t>
      </w:r>
      <w:r w:rsidRPr="00122AA1">
        <w:rPr>
          <w:rFonts w:ascii="Arial" w:hAnsi="Arial" w:cs="Arial"/>
        </w:rPr>
        <w:t>, j</w:t>
      </w:r>
      <w:r w:rsidR="0089622E" w:rsidRPr="00122AA1">
        <w:rPr>
          <w:rFonts w:ascii="Arial" w:hAnsi="Arial" w:cs="Arial"/>
        </w:rPr>
        <w:t xml:space="preserve">ust under 40 per cent of </w:t>
      </w:r>
      <w:r w:rsidRPr="00122AA1">
        <w:rPr>
          <w:rFonts w:ascii="Arial" w:hAnsi="Arial" w:cs="Arial"/>
        </w:rPr>
        <w:t xml:space="preserve">online </w:t>
      </w:r>
      <w:r w:rsidR="0089622E" w:rsidRPr="00122AA1">
        <w:rPr>
          <w:rFonts w:ascii="Arial" w:hAnsi="Arial" w:cs="Arial"/>
        </w:rPr>
        <w:t xml:space="preserve">users </w:t>
      </w:r>
      <w:r w:rsidRPr="00122AA1">
        <w:rPr>
          <w:rFonts w:ascii="Arial" w:hAnsi="Arial" w:cs="Arial"/>
        </w:rPr>
        <w:t>were</w:t>
      </w:r>
      <w:r w:rsidR="0089622E" w:rsidRPr="00122AA1">
        <w:rPr>
          <w:rFonts w:ascii="Arial" w:hAnsi="Arial" w:cs="Arial"/>
        </w:rPr>
        <w:t xml:space="preserve"> confident that privacy settings on websites work.</w:t>
      </w:r>
      <w:r w:rsidR="0089622E" w:rsidRPr="00122AA1">
        <w:rPr>
          <w:rStyle w:val="FootnoteReference"/>
          <w:rFonts w:cs="Arial"/>
        </w:rPr>
        <w:footnoteReference w:id="23"/>
      </w:r>
      <w:r w:rsidR="0089622E" w:rsidRPr="00122AA1">
        <w:rPr>
          <w:rFonts w:ascii="Arial" w:hAnsi="Arial" w:cs="Arial"/>
        </w:rPr>
        <w:t xml:space="preserve"> </w:t>
      </w:r>
      <w:r w:rsidR="00513309" w:rsidRPr="00122AA1">
        <w:rPr>
          <w:rFonts w:ascii="Arial" w:hAnsi="Arial" w:cs="Arial"/>
        </w:rPr>
        <w:t>Mandatory authentication procedures that required the user to provide information unrelated to a transaction were seen as intrusive and indic</w:t>
      </w:r>
      <w:r w:rsidR="00ED5A4E" w:rsidRPr="00122AA1">
        <w:rPr>
          <w:rFonts w:ascii="Arial" w:hAnsi="Arial" w:cs="Arial"/>
        </w:rPr>
        <w:t>ative of an untrustworthy site.</w:t>
      </w:r>
      <w:r w:rsidR="00513309" w:rsidRPr="00122AA1">
        <w:rPr>
          <w:rFonts w:ascii="Arial" w:hAnsi="Arial" w:cs="Arial"/>
        </w:rPr>
        <w:t xml:space="preserve"> </w:t>
      </w:r>
    </w:p>
    <w:p w:rsidR="00193BC4" w:rsidRPr="00122AA1" w:rsidRDefault="00193BC4" w:rsidP="004A1FAC">
      <w:pPr>
        <w:rPr>
          <w:rFonts w:ascii="Arial" w:hAnsi="Arial" w:cs="Arial"/>
        </w:rPr>
      </w:pPr>
    </w:p>
    <w:p w:rsidR="0089622E" w:rsidRPr="00122AA1" w:rsidRDefault="0089622E" w:rsidP="00C06615">
      <w:pPr>
        <w:pStyle w:val="Heading2"/>
        <w:rPr>
          <w:rFonts w:ascii="Arial" w:hAnsi="Arial"/>
        </w:rPr>
      </w:pPr>
      <w:bookmarkStart w:id="18" w:name="_Toc359574759"/>
      <w:r w:rsidRPr="00122AA1">
        <w:rPr>
          <w:rFonts w:ascii="Arial" w:hAnsi="Arial"/>
        </w:rPr>
        <w:t>Citizens are concerned about financial loss</w:t>
      </w:r>
      <w:bookmarkEnd w:id="18"/>
      <w:r w:rsidRPr="00122AA1">
        <w:rPr>
          <w:rFonts w:ascii="Arial" w:hAnsi="Arial"/>
        </w:rPr>
        <w:t xml:space="preserve"> </w:t>
      </w:r>
    </w:p>
    <w:p w:rsidR="0089622E" w:rsidRPr="00122AA1" w:rsidRDefault="0089622E" w:rsidP="0089622E">
      <w:pPr>
        <w:rPr>
          <w:rFonts w:ascii="Arial" w:hAnsi="Arial" w:cs="Arial"/>
        </w:rPr>
      </w:pPr>
      <w:r w:rsidRPr="00122AA1">
        <w:rPr>
          <w:rFonts w:ascii="Arial" w:hAnsi="Arial" w:cs="Arial"/>
        </w:rPr>
        <w:t xml:space="preserve">An area of increasing interest to the ACMA is the financial risks arising from disclosures of personal information or financial transactions on a communications network. </w:t>
      </w:r>
      <w:r w:rsidR="00EA0914" w:rsidRPr="00122AA1">
        <w:rPr>
          <w:rFonts w:ascii="Arial" w:hAnsi="Arial" w:cs="Arial"/>
        </w:rPr>
        <w:t>Financial risks may be incidental to breaches of other communications information and data protection obligations</w:t>
      </w:r>
      <w:r w:rsidR="00BC731B" w:rsidRPr="00122AA1">
        <w:rPr>
          <w:rFonts w:ascii="Arial" w:hAnsi="Arial" w:cs="Arial"/>
        </w:rPr>
        <w:t xml:space="preserve">. </w:t>
      </w:r>
      <w:r w:rsidR="004F4FAE" w:rsidRPr="00122AA1">
        <w:rPr>
          <w:rFonts w:ascii="Arial" w:hAnsi="Arial" w:cs="Arial"/>
        </w:rPr>
        <w:t xml:space="preserve">Risks </w:t>
      </w:r>
      <w:r w:rsidR="006F4E60" w:rsidRPr="00122AA1">
        <w:rPr>
          <w:rFonts w:ascii="Arial" w:hAnsi="Arial" w:cs="Arial"/>
        </w:rPr>
        <w:t>can occur</w:t>
      </w:r>
      <w:r w:rsidR="00EA0914" w:rsidRPr="00122AA1">
        <w:rPr>
          <w:rFonts w:ascii="Arial" w:hAnsi="Arial" w:cs="Arial"/>
        </w:rPr>
        <w:t xml:space="preserve"> where personal information is disclosed publicly or to unauthorised third parties</w:t>
      </w:r>
      <w:r w:rsidR="00BC731B" w:rsidRPr="00122AA1">
        <w:rPr>
          <w:rFonts w:ascii="Arial" w:hAnsi="Arial" w:cs="Arial"/>
        </w:rPr>
        <w:t>,</w:t>
      </w:r>
      <w:r w:rsidR="00EA0914" w:rsidRPr="00122AA1">
        <w:rPr>
          <w:rFonts w:ascii="Arial" w:hAnsi="Arial" w:cs="Arial"/>
        </w:rPr>
        <w:t xml:space="preserve"> </w:t>
      </w:r>
      <w:r w:rsidR="006F4E60" w:rsidRPr="00122AA1">
        <w:rPr>
          <w:rFonts w:ascii="Arial" w:hAnsi="Arial" w:cs="Arial"/>
        </w:rPr>
        <w:t xml:space="preserve">which may result </w:t>
      </w:r>
      <w:r w:rsidR="00EA0914" w:rsidRPr="00122AA1">
        <w:rPr>
          <w:rFonts w:ascii="Arial" w:hAnsi="Arial" w:cs="Arial"/>
        </w:rPr>
        <w:t>in financial detriment to an individual.</w:t>
      </w:r>
    </w:p>
    <w:p w:rsidR="0089622E" w:rsidRPr="00122AA1" w:rsidRDefault="0089622E" w:rsidP="0089622E">
      <w:pPr>
        <w:rPr>
          <w:rFonts w:ascii="Arial" w:hAnsi="Arial" w:cs="Arial"/>
        </w:rPr>
      </w:pPr>
    </w:p>
    <w:p w:rsidR="0089622E" w:rsidRPr="00122AA1" w:rsidRDefault="0089622E" w:rsidP="0089622E">
      <w:pPr>
        <w:rPr>
          <w:rFonts w:ascii="Arial" w:hAnsi="Arial" w:cs="Arial"/>
        </w:rPr>
      </w:pPr>
      <w:r w:rsidRPr="00122AA1">
        <w:rPr>
          <w:rFonts w:ascii="Arial" w:hAnsi="Arial" w:cs="Arial"/>
        </w:rPr>
        <w:t>Financial privacy issues also arise from voluntary disclosure of personal information through online social networking and spam-driven scams. Many online social networking sites encourage disclosure and sharing of personal information, including family relationships, employment and education history, and living locations.</w:t>
      </w:r>
    </w:p>
    <w:p w:rsidR="0089622E" w:rsidRPr="00122AA1" w:rsidRDefault="0089622E" w:rsidP="0089622E">
      <w:pPr>
        <w:rPr>
          <w:rFonts w:ascii="Arial" w:hAnsi="Arial" w:cs="Arial"/>
        </w:rPr>
      </w:pPr>
    </w:p>
    <w:p w:rsidR="0089622E" w:rsidRPr="00122AA1" w:rsidRDefault="0089622E" w:rsidP="0089622E">
      <w:pPr>
        <w:spacing w:line="240" w:lineRule="auto"/>
        <w:rPr>
          <w:rFonts w:ascii="Arial" w:hAnsi="Arial" w:cs="Arial"/>
        </w:rPr>
      </w:pPr>
      <w:r w:rsidRPr="00122AA1">
        <w:rPr>
          <w:rFonts w:ascii="Arial" w:hAnsi="Arial" w:cs="Arial"/>
        </w:rPr>
        <w:t>In recent ACMA research, a data breach that involve</w:t>
      </w:r>
      <w:r w:rsidR="00C06615" w:rsidRPr="00122AA1">
        <w:rPr>
          <w:rFonts w:ascii="Arial" w:hAnsi="Arial" w:cs="Arial"/>
        </w:rPr>
        <w:t>d</w:t>
      </w:r>
      <w:r w:rsidRPr="00122AA1">
        <w:rPr>
          <w:rFonts w:ascii="Arial" w:hAnsi="Arial" w:cs="Arial"/>
        </w:rPr>
        <w:t xml:space="preserve"> financial loss was a strong concern, with 90 per cent of participants stating that they would stop using a site if their credit card details were stolen from it.</w:t>
      </w:r>
      <w:r w:rsidRPr="00122AA1">
        <w:rPr>
          <w:rStyle w:val="FootnoteReference"/>
          <w:rFonts w:cs="Arial"/>
        </w:rPr>
        <w:footnoteReference w:id="24"/>
      </w:r>
    </w:p>
    <w:p w:rsidR="00CA53B6" w:rsidRPr="00122AA1" w:rsidRDefault="00CA53B6" w:rsidP="0089622E">
      <w:pPr>
        <w:spacing w:line="240" w:lineRule="auto"/>
        <w:rPr>
          <w:rFonts w:ascii="Arial" w:hAnsi="Arial" w:cs="Arial"/>
        </w:rPr>
      </w:pPr>
    </w:p>
    <w:tbl>
      <w:tblPr>
        <w:tblW w:w="9645" w:type="dxa"/>
        <w:tblLayout w:type="fixed"/>
        <w:tblCellMar>
          <w:left w:w="0" w:type="dxa"/>
          <w:right w:w="0" w:type="dxa"/>
        </w:tblCellMar>
        <w:tblLook w:val="01E0"/>
      </w:tblPr>
      <w:tblGrid>
        <w:gridCol w:w="9645"/>
      </w:tblGrid>
      <w:tr w:rsidR="000162EB" w:rsidRPr="00122AA1">
        <w:trPr>
          <w:trHeight w:val="570"/>
        </w:trPr>
        <w:tc>
          <w:tcPr>
            <w:tcW w:w="9645" w:type="dxa"/>
            <w:tcBorders>
              <w:top w:val="single" w:sz="2" w:space="0" w:color="505050"/>
            </w:tcBorders>
            <w:shd w:val="clear" w:color="auto" w:fill="auto"/>
            <w:vAlign w:val="center"/>
          </w:tcPr>
          <w:p w:rsidR="000162EB" w:rsidRPr="00122AA1" w:rsidRDefault="000162EB" w:rsidP="000162EB">
            <w:pPr>
              <w:pStyle w:val="Caption"/>
              <w:keepNext/>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8</w:t>
            </w:r>
            <w:r w:rsidR="00302C7D" w:rsidRPr="00122AA1">
              <w:rPr>
                <w:rFonts w:ascii="Arial" w:hAnsi="Arial" w:cs="Arial"/>
              </w:rPr>
              <w:fldChar w:fldCharType="end"/>
            </w:r>
            <w:r w:rsidRPr="00122AA1">
              <w:rPr>
                <w:rFonts w:ascii="Arial" w:hAnsi="Arial" w:cs="Arial"/>
              </w:rPr>
              <w:t xml:space="preserve"> Events that would annoy users enough to stop using a provider</w:t>
            </w:r>
          </w:p>
        </w:tc>
      </w:tr>
      <w:tr w:rsidR="000162EB" w:rsidRPr="00122AA1">
        <w:trPr>
          <w:trHeight w:val="3086"/>
        </w:trPr>
        <w:tc>
          <w:tcPr>
            <w:tcW w:w="9645" w:type="dxa"/>
            <w:shd w:val="clear" w:color="auto" w:fill="auto"/>
            <w:tcMar>
              <w:left w:w="28" w:type="dxa"/>
            </w:tcMar>
          </w:tcPr>
          <w:p w:rsidR="000162EB" w:rsidRPr="00122AA1" w:rsidRDefault="000162EB">
            <w:pPr>
              <w:rPr>
                <w:rFonts w:ascii="Arial" w:hAnsi="Arial" w:cs="Arial"/>
              </w:rPr>
            </w:pPr>
            <w:r w:rsidRPr="00122AA1">
              <w:rPr>
                <w:rFonts w:ascii="Arial" w:hAnsi="Arial" w:cs="Arial"/>
                <w:noProof/>
              </w:rPr>
              <w:drawing>
                <wp:inline distT="0" distB="0" distL="0" distR="0">
                  <wp:extent cx="3964427" cy="4435813"/>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srcRect l="1174" t="1055" r="1174" b="647"/>
                          <a:stretch>
                            <a:fillRect/>
                          </a:stretch>
                        </pic:blipFill>
                        <pic:spPr bwMode="auto">
                          <a:xfrm>
                            <a:off x="0" y="0"/>
                            <a:ext cx="3964427" cy="4435813"/>
                          </a:xfrm>
                          <a:prstGeom prst="rect">
                            <a:avLst/>
                          </a:prstGeom>
                          <a:noFill/>
                          <a:ln w="9525">
                            <a:noFill/>
                            <a:miter lim="800000"/>
                            <a:headEnd/>
                            <a:tailEnd/>
                          </a:ln>
                        </pic:spPr>
                      </pic:pic>
                    </a:graphicData>
                  </a:graphic>
                </wp:inline>
              </w:drawing>
            </w:r>
          </w:p>
        </w:tc>
      </w:tr>
      <w:tr w:rsidR="000162EB" w:rsidRPr="00122AA1">
        <w:trPr>
          <w:trHeight w:val="291"/>
        </w:trPr>
        <w:tc>
          <w:tcPr>
            <w:tcW w:w="9645" w:type="dxa"/>
            <w:tcBorders>
              <w:bottom w:val="single" w:sz="2" w:space="0" w:color="505050"/>
            </w:tcBorders>
            <w:shd w:val="clear" w:color="auto" w:fill="auto"/>
          </w:tcPr>
          <w:p w:rsidR="000162EB" w:rsidRPr="00122AA1" w:rsidRDefault="000162EB">
            <w:pPr>
              <w:rPr>
                <w:rFonts w:ascii="Arial" w:hAnsi="Arial" w:cs="Arial"/>
              </w:rPr>
            </w:pPr>
          </w:p>
        </w:tc>
      </w:tr>
    </w:tbl>
    <w:p w:rsidR="000162EB" w:rsidRPr="00122AA1" w:rsidRDefault="000162EB" w:rsidP="0089622E">
      <w:pPr>
        <w:spacing w:line="240" w:lineRule="auto"/>
        <w:rPr>
          <w:rFonts w:ascii="Arial" w:hAnsi="Arial" w:cs="Arial"/>
        </w:rPr>
      </w:pPr>
    </w:p>
    <w:p w:rsidR="00035C81" w:rsidRPr="00122AA1" w:rsidRDefault="00C06615" w:rsidP="00035C81">
      <w:pPr>
        <w:rPr>
          <w:rFonts w:ascii="Arial" w:hAnsi="Arial" w:cs="Arial"/>
        </w:rPr>
      </w:pPr>
      <w:r w:rsidRPr="00122AA1">
        <w:rPr>
          <w:rFonts w:ascii="Arial" w:hAnsi="Arial" w:cs="Arial"/>
        </w:rPr>
        <w:t>A</w:t>
      </w:r>
      <w:r w:rsidR="00035C81" w:rsidRPr="00122AA1">
        <w:rPr>
          <w:rFonts w:ascii="Arial" w:hAnsi="Arial" w:cs="Arial"/>
        </w:rPr>
        <w:t>nother form of financial risk may occur as a result of the malicious use of personal information or information about personal activities. Unwanted communications in the form of spam is a mechanism that may be used to encourage individuals to supply personal details through scam campaigns</w:t>
      </w:r>
      <w:r w:rsidR="00472167" w:rsidRPr="00122AA1">
        <w:rPr>
          <w:rFonts w:ascii="Arial" w:hAnsi="Arial" w:cs="Arial"/>
        </w:rPr>
        <w:t xml:space="preserve">. These details </w:t>
      </w:r>
      <w:r w:rsidR="00035C81" w:rsidRPr="00122AA1">
        <w:rPr>
          <w:rFonts w:ascii="Arial" w:hAnsi="Arial" w:cs="Arial"/>
        </w:rPr>
        <w:t>are then used to defraud them. The ACMA’s research has identified that</w:t>
      </w:r>
      <w:r w:rsidR="00472167" w:rsidRPr="00122AA1">
        <w:rPr>
          <w:rFonts w:ascii="Arial" w:hAnsi="Arial" w:cs="Arial"/>
        </w:rPr>
        <w:t>,</w:t>
      </w:r>
      <w:r w:rsidR="00035C81" w:rsidRPr="00122AA1">
        <w:rPr>
          <w:rFonts w:ascii="Arial" w:hAnsi="Arial" w:cs="Arial"/>
        </w:rPr>
        <w:t xml:space="preserve"> in the 12 months to May 2012, approximately 3.2 million internet users in Australia were estimated to have had their computers infected with a malware virus and 1.2 million experienced some form of online credit card fraud. In addition, 625,000 </w:t>
      </w:r>
      <w:r w:rsidR="00472167" w:rsidRPr="00122AA1">
        <w:rPr>
          <w:rFonts w:ascii="Arial" w:hAnsi="Arial" w:cs="Arial"/>
        </w:rPr>
        <w:t xml:space="preserve">people </w:t>
      </w:r>
      <w:r w:rsidR="00035C81" w:rsidRPr="00122AA1">
        <w:rPr>
          <w:rFonts w:ascii="Arial" w:hAnsi="Arial" w:cs="Arial"/>
        </w:rPr>
        <w:t>were estimated to have responded to an unsolicited or scam email and provided either personal information or money.</w:t>
      </w:r>
      <w:r w:rsidR="00035C81" w:rsidRPr="00122AA1">
        <w:rPr>
          <w:rStyle w:val="FootnoteReference"/>
          <w:rFonts w:cs="Arial"/>
        </w:rPr>
        <w:footnoteReference w:id="25"/>
      </w:r>
    </w:p>
    <w:p w:rsidR="00035C81" w:rsidRPr="00122AA1" w:rsidRDefault="00035C81" w:rsidP="00035C81">
      <w:pPr>
        <w:rPr>
          <w:rFonts w:ascii="Arial" w:hAnsi="Arial" w:cs="Arial"/>
        </w:rPr>
      </w:pPr>
    </w:p>
    <w:p w:rsidR="00035C81" w:rsidRPr="00122AA1" w:rsidRDefault="00A96447" w:rsidP="00A96447">
      <w:pPr>
        <w:pStyle w:val="Heading2"/>
        <w:rPr>
          <w:rFonts w:ascii="Arial" w:hAnsi="Arial"/>
        </w:rPr>
      </w:pPr>
      <w:bookmarkStart w:id="19" w:name="_Toc359574760"/>
      <w:r w:rsidRPr="00122AA1">
        <w:rPr>
          <w:rFonts w:ascii="Arial" w:hAnsi="Arial"/>
        </w:rPr>
        <w:t>Managing reputation</w:t>
      </w:r>
      <w:bookmarkEnd w:id="19"/>
      <w:r w:rsidRPr="00122AA1">
        <w:rPr>
          <w:rFonts w:ascii="Arial" w:hAnsi="Arial"/>
        </w:rPr>
        <w:t xml:space="preserve"> </w:t>
      </w:r>
    </w:p>
    <w:p w:rsidR="00035C81" w:rsidRPr="00122AA1" w:rsidRDefault="00035C81" w:rsidP="002D157D">
      <w:pPr>
        <w:rPr>
          <w:rFonts w:ascii="Arial" w:hAnsi="Arial" w:cs="Arial"/>
        </w:rPr>
      </w:pPr>
      <w:r w:rsidRPr="00122AA1">
        <w:rPr>
          <w:rFonts w:ascii="Arial" w:hAnsi="Arial" w:cs="Arial"/>
        </w:rPr>
        <w:t>Recent ACMA research on the ways in which citizens manage their digital identities confirms the importance that citizens attach to their reputati</w:t>
      </w:r>
      <w:r w:rsidR="00ED5A4E" w:rsidRPr="00122AA1">
        <w:rPr>
          <w:rFonts w:ascii="Arial" w:hAnsi="Arial" w:cs="Arial"/>
        </w:rPr>
        <w:t>on in the digital environment.</w:t>
      </w:r>
      <w:r w:rsidRPr="00122AA1">
        <w:rPr>
          <w:rFonts w:ascii="Arial" w:hAnsi="Arial" w:cs="Arial"/>
        </w:rPr>
        <w:t xml:space="preserve"> Over 80 per cent of respondents indicated that disclosure of private information that resulted in damage to their reputation would be sufficient to cause them to stop using a service.</w:t>
      </w:r>
      <w:r w:rsidRPr="00122AA1">
        <w:rPr>
          <w:rStyle w:val="FootnoteReference"/>
          <w:rFonts w:cs="Arial"/>
          <w:b/>
        </w:rPr>
        <w:footnoteReference w:id="26"/>
      </w:r>
      <w:r w:rsidRPr="00122AA1">
        <w:rPr>
          <w:rFonts w:ascii="Arial" w:hAnsi="Arial" w:cs="Arial"/>
        </w:rPr>
        <w:t xml:space="preserve"> </w:t>
      </w:r>
    </w:p>
    <w:p w:rsidR="00555247" w:rsidRPr="00122AA1" w:rsidRDefault="00555247" w:rsidP="00555247">
      <w:pPr>
        <w:rPr>
          <w:rFonts w:ascii="Arial" w:hAnsi="Arial" w:cs="Arial"/>
        </w:rPr>
      </w:pPr>
    </w:p>
    <w:p w:rsidR="00555247" w:rsidRPr="00122AA1" w:rsidRDefault="00555247" w:rsidP="00555247">
      <w:pPr>
        <w:pStyle w:val="Heading2"/>
        <w:rPr>
          <w:rFonts w:ascii="Arial" w:hAnsi="Arial"/>
        </w:rPr>
      </w:pPr>
      <w:bookmarkStart w:id="20" w:name="_Toc359574761"/>
      <w:r w:rsidRPr="00122AA1">
        <w:rPr>
          <w:rFonts w:ascii="Arial" w:hAnsi="Arial"/>
        </w:rPr>
        <w:t>Managing location activities</w:t>
      </w:r>
      <w:bookmarkEnd w:id="20"/>
    </w:p>
    <w:p w:rsidR="00555247" w:rsidRPr="00122AA1" w:rsidRDefault="00555247" w:rsidP="00555247">
      <w:pPr>
        <w:rPr>
          <w:rFonts w:ascii="Arial" w:hAnsi="Arial" w:cs="Arial"/>
        </w:rPr>
      </w:pPr>
      <w:r w:rsidRPr="00122AA1">
        <w:rPr>
          <w:rFonts w:ascii="Arial" w:hAnsi="Arial" w:cs="Arial"/>
        </w:rPr>
        <w:t>Location information is considered particularly valuable because of the role it can play in targeting marketing activities</w:t>
      </w:r>
      <w:r w:rsidR="00FD5270" w:rsidRPr="00122AA1">
        <w:rPr>
          <w:rFonts w:ascii="Arial" w:hAnsi="Arial" w:cs="Arial"/>
        </w:rPr>
        <w:t>. I</w:t>
      </w:r>
      <w:r w:rsidRPr="00122AA1">
        <w:rPr>
          <w:rFonts w:ascii="Arial" w:hAnsi="Arial" w:cs="Arial"/>
        </w:rPr>
        <w:t>t has been claimed that consumers are significantly more likely to respond to advertisements for products and services that are available relatively close to them.</w:t>
      </w:r>
      <w:r w:rsidRPr="00122AA1">
        <w:rPr>
          <w:rStyle w:val="FootnoteReference"/>
          <w:rFonts w:cs="Arial"/>
        </w:rPr>
        <w:footnoteReference w:id="27"/>
      </w:r>
      <w:r w:rsidRPr="00122AA1">
        <w:rPr>
          <w:rFonts w:ascii="Arial" w:hAnsi="Arial" w:cs="Arial"/>
        </w:rPr>
        <w:t xml:space="preserve"> ACMA research shows that consumers recognise the value of functionality and content that is tailored to their locations</w:t>
      </w:r>
      <w:r w:rsidR="00FD5270" w:rsidRPr="00122AA1">
        <w:rPr>
          <w:rFonts w:ascii="Arial" w:hAnsi="Arial" w:cs="Arial"/>
        </w:rPr>
        <w:t>. Nevertheless</w:t>
      </w:r>
      <w:r w:rsidRPr="00122AA1">
        <w:rPr>
          <w:rFonts w:ascii="Arial" w:hAnsi="Arial" w:cs="Arial"/>
        </w:rPr>
        <w:t>, they have limited awareness of how this information is collected, stored and shared</w:t>
      </w:r>
      <w:r w:rsidR="00A75948" w:rsidRPr="00122AA1">
        <w:rPr>
          <w:rFonts w:ascii="Arial" w:hAnsi="Arial" w:cs="Arial"/>
        </w:rPr>
        <w:t>, and are concerned about these practices</w:t>
      </w:r>
      <w:r w:rsidR="00ED5A4E" w:rsidRPr="00122AA1">
        <w:rPr>
          <w:rFonts w:ascii="Arial" w:hAnsi="Arial" w:cs="Arial"/>
        </w:rPr>
        <w:t>.</w:t>
      </w:r>
      <w:r w:rsidRPr="00122AA1">
        <w:rPr>
          <w:rFonts w:ascii="Arial" w:hAnsi="Arial" w:cs="Arial"/>
        </w:rPr>
        <w:t xml:space="preserve"> They expect to be informed about this and </w:t>
      </w:r>
      <w:r w:rsidR="00FD5270" w:rsidRPr="00122AA1">
        <w:rPr>
          <w:rFonts w:ascii="Arial" w:hAnsi="Arial" w:cs="Arial"/>
        </w:rPr>
        <w:t xml:space="preserve">to </w:t>
      </w:r>
      <w:r w:rsidRPr="00122AA1">
        <w:rPr>
          <w:rFonts w:ascii="Arial" w:hAnsi="Arial" w:cs="Arial"/>
        </w:rPr>
        <w:t>be able to make informed choices about how and when their location information is used.</w:t>
      </w:r>
      <w:r w:rsidRPr="00122AA1">
        <w:rPr>
          <w:rStyle w:val="FootnoteReference"/>
          <w:rFonts w:cs="Arial"/>
        </w:rPr>
        <w:footnoteReference w:id="28"/>
      </w:r>
    </w:p>
    <w:p w:rsidR="00555247" w:rsidRPr="00122AA1" w:rsidRDefault="00555247" w:rsidP="00555247">
      <w:pPr>
        <w:rPr>
          <w:rFonts w:ascii="Arial" w:hAnsi="Arial" w:cs="Arial"/>
        </w:rPr>
      </w:pPr>
    </w:p>
    <w:p w:rsidR="00035C81" w:rsidRPr="00122AA1" w:rsidRDefault="00035C81" w:rsidP="00A96447">
      <w:pPr>
        <w:pStyle w:val="Heading2"/>
        <w:rPr>
          <w:rFonts w:ascii="Arial" w:hAnsi="Arial"/>
        </w:rPr>
      </w:pPr>
      <w:bookmarkStart w:id="21" w:name="_Toc359574762"/>
      <w:r w:rsidRPr="00122AA1">
        <w:rPr>
          <w:rFonts w:ascii="Arial" w:hAnsi="Arial"/>
        </w:rPr>
        <w:t xml:space="preserve">Malicious activity </w:t>
      </w:r>
      <w:r w:rsidR="0064165B" w:rsidRPr="00122AA1">
        <w:rPr>
          <w:rFonts w:ascii="Arial" w:hAnsi="Arial"/>
        </w:rPr>
        <w:t>risks</w:t>
      </w:r>
      <w:r w:rsidRPr="00122AA1">
        <w:rPr>
          <w:rFonts w:ascii="Arial" w:hAnsi="Arial"/>
        </w:rPr>
        <w:t xml:space="preserve"> to personal data</w:t>
      </w:r>
      <w:bookmarkEnd w:id="21"/>
      <w:r w:rsidR="0064165B" w:rsidRPr="00122AA1">
        <w:rPr>
          <w:rFonts w:ascii="Arial" w:hAnsi="Arial"/>
        </w:rPr>
        <w:t xml:space="preserve"> </w:t>
      </w:r>
    </w:p>
    <w:p w:rsidR="00035C81" w:rsidRPr="00122AA1" w:rsidRDefault="00035C81" w:rsidP="00035C81">
      <w:pPr>
        <w:rPr>
          <w:rFonts w:ascii="Arial" w:hAnsi="Arial" w:cs="Arial"/>
        </w:rPr>
      </w:pPr>
      <w:r w:rsidRPr="00122AA1">
        <w:rPr>
          <w:rFonts w:ascii="Arial" w:hAnsi="Arial" w:cs="Arial"/>
        </w:rPr>
        <w:t xml:space="preserve">The potential for personal data to be exploited </w:t>
      </w:r>
      <w:r w:rsidR="00FD5270" w:rsidRPr="00122AA1">
        <w:rPr>
          <w:rFonts w:ascii="Arial" w:hAnsi="Arial" w:cs="Arial"/>
        </w:rPr>
        <w:t>for</w:t>
      </w:r>
      <w:r w:rsidRPr="00122AA1">
        <w:rPr>
          <w:rFonts w:ascii="Arial" w:hAnsi="Arial" w:cs="Arial"/>
        </w:rPr>
        <w:t xml:space="preserve"> identity theft and other fraudulent activities has made it an attractive target for criminals</w:t>
      </w:r>
      <w:r w:rsidR="00FD5270" w:rsidRPr="00122AA1">
        <w:rPr>
          <w:rFonts w:ascii="Arial" w:hAnsi="Arial" w:cs="Arial"/>
        </w:rPr>
        <w:t>.</w:t>
      </w:r>
      <w:r w:rsidRPr="00122AA1">
        <w:rPr>
          <w:rFonts w:ascii="Arial" w:hAnsi="Arial" w:cs="Arial"/>
        </w:rPr>
        <w:t xml:space="preserve"> </w:t>
      </w:r>
      <w:r w:rsidR="00FD5270" w:rsidRPr="00122AA1">
        <w:rPr>
          <w:rFonts w:ascii="Arial" w:hAnsi="Arial" w:cs="Arial"/>
        </w:rPr>
        <w:t xml:space="preserve">Consequently, </w:t>
      </w:r>
      <w:r w:rsidRPr="00122AA1">
        <w:rPr>
          <w:rFonts w:ascii="Arial" w:hAnsi="Arial" w:cs="Arial"/>
        </w:rPr>
        <w:t xml:space="preserve">personal data is the target of a significant proportion of malicious online activity, with criminals employing a range of technical and social engineering techniques in attempts </w:t>
      </w:r>
      <w:r w:rsidR="00ED5A4E" w:rsidRPr="00122AA1">
        <w:rPr>
          <w:rFonts w:ascii="Arial" w:hAnsi="Arial" w:cs="Arial"/>
        </w:rPr>
        <w:t>to obtain personal data.</w:t>
      </w:r>
      <w:r w:rsidRPr="00122AA1">
        <w:rPr>
          <w:rFonts w:ascii="Arial" w:hAnsi="Arial" w:cs="Arial"/>
        </w:rPr>
        <w:t xml:space="preserve"> Commercial distribution of online child sexual abuse material was largely driven by organised criminal activity aimed at obtaining users’ credit c</w:t>
      </w:r>
      <w:r w:rsidR="00BE0692" w:rsidRPr="00122AA1">
        <w:rPr>
          <w:rFonts w:ascii="Arial" w:hAnsi="Arial" w:cs="Arial"/>
        </w:rPr>
        <w:t>ard and other identity details.</w:t>
      </w:r>
      <w:r w:rsidRPr="00122AA1">
        <w:rPr>
          <w:rFonts w:ascii="Arial" w:hAnsi="Arial" w:cs="Arial"/>
        </w:rPr>
        <w:t xml:space="preserve"> Users would then find that unauthorised purchases had been made on their a</w:t>
      </w:r>
      <w:r w:rsidR="00BE0692" w:rsidRPr="00122AA1">
        <w:rPr>
          <w:rFonts w:ascii="Arial" w:hAnsi="Arial" w:cs="Arial"/>
        </w:rPr>
        <w:t>ccounts.</w:t>
      </w:r>
      <w:r w:rsidRPr="00122AA1">
        <w:rPr>
          <w:rFonts w:ascii="Arial" w:hAnsi="Arial" w:cs="Arial"/>
        </w:rPr>
        <w:t xml:space="preserve"> Many were reluctant to report </w:t>
      </w:r>
      <w:r w:rsidR="00FD5270" w:rsidRPr="00122AA1">
        <w:rPr>
          <w:rFonts w:ascii="Arial" w:hAnsi="Arial" w:cs="Arial"/>
        </w:rPr>
        <w:t xml:space="preserve">this </w:t>
      </w:r>
      <w:r w:rsidRPr="00122AA1">
        <w:rPr>
          <w:rFonts w:ascii="Arial" w:hAnsi="Arial" w:cs="Arial"/>
        </w:rPr>
        <w:t xml:space="preserve">to authorities </w:t>
      </w:r>
      <w:r w:rsidR="00FD5270" w:rsidRPr="00122AA1">
        <w:rPr>
          <w:rFonts w:ascii="Arial" w:hAnsi="Arial" w:cs="Arial"/>
        </w:rPr>
        <w:t>because they</w:t>
      </w:r>
      <w:r w:rsidRPr="00122AA1">
        <w:rPr>
          <w:rFonts w:ascii="Arial" w:hAnsi="Arial" w:cs="Arial"/>
        </w:rPr>
        <w:t xml:space="preserve"> fear</w:t>
      </w:r>
      <w:r w:rsidR="00FD5270" w:rsidRPr="00122AA1">
        <w:rPr>
          <w:rFonts w:ascii="Arial" w:hAnsi="Arial" w:cs="Arial"/>
        </w:rPr>
        <w:t>ed</w:t>
      </w:r>
      <w:r w:rsidRPr="00122AA1">
        <w:rPr>
          <w:rFonts w:ascii="Arial" w:hAnsi="Arial" w:cs="Arial"/>
        </w:rPr>
        <w:t xml:space="preserve"> that their purchases of illegal</w:t>
      </w:r>
      <w:r w:rsidR="00BE0692" w:rsidRPr="00122AA1">
        <w:rPr>
          <w:rFonts w:ascii="Arial" w:hAnsi="Arial" w:cs="Arial"/>
        </w:rPr>
        <w:t xml:space="preserve"> material would be discovered. </w:t>
      </w:r>
      <w:r w:rsidRPr="00122AA1">
        <w:rPr>
          <w:rFonts w:ascii="Arial" w:hAnsi="Arial" w:cs="Arial"/>
        </w:rPr>
        <w:t>This fraudulent activity has been effectively addressed through cooperation between law enforcement agencies, online service providers and financial institutions.</w:t>
      </w:r>
      <w:r w:rsidR="00A717B8" w:rsidRPr="00122AA1">
        <w:rPr>
          <w:rFonts w:ascii="Arial" w:hAnsi="Arial" w:cs="Arial"/>
          <w:vertAlign w:val="superscript"/>
        </w:rPr>
        <w:footnoteReference w:id="29"/>
      </w:r>
      <w:r w:rsidRPr="00122AA1">
        <w:rPr>
          <w:rFonts w:ascii="Arial" w:hAnsi="Arial" w:cs="Arial"/>
        </w:rPr>
        <w:t xml:space="preserve"> However, other sophisticated social engineering techniques and ‘malware’-related activities aimed at obtained personal da</w:t>
      </w:r>
      <w:r w:rsidR="00BE0692" w:rsidRPr="00122AA1">
        <w:rPr>
          <w:rFonts w:ascii="Arial" w:hAnsi="Arial" w:cs="Arial"/>
        </w:rPr>
        <w:t xml:space="preserve">ta have continued to emerge. </w:t>
      </w:r>
    </w:p>
    <w:p w:rsidR="00035C81" w:rsidRPr="00122AA1" w:rsidRDefault="00035C81" w:rsidP="00035C81">
      <w:pPr>
        <w:rPr>
          <w:rFonts w:ascii="Arial" w:hAnsi="Arial" w:cs="Arial"/>
        </w:rPr>
      </w:pPr>
    </w:p>
    <w:p w:rsidR="00035C81" w:rsidRPr="00122AA1" w:rsidRDefault="00035C81" w:rsidP="00035C81">
      <w:pPr>
        <w:rPr>
          <w:rFonts w:ascii="Arial" w:hAnsi="Arial" w:cs="Arial"/>
        </w:rPr>
      </w:pPr>
      <w:r w:rsidRPr="00122AA1">
        <w:rPr>
          <w:rFonts w:ascii="Arial" w:hAnsi="Arial" w:cs="Arial"/>
        </w:rPr>
        <w:t xml:space="preserve">The most prevalent infection type currently being reported through the </w:t>
      </w:r>
      <w:r w:rsidR="00FD5270" w:rsidRPr="00122AA1">
        <w:rPr>
          <w:rFonts w:ascii="Arial" w:hAnsi="Arial" w:cs="Arial"/>
        </w:rPr>
        <w:t>ACMA’s Australian Internet Security Initiative (</w:t>
      </w:r>
      <w:r w:rsidRPr="00122AA1">
        <w:rPr>
          <w:rFonts w:ascii="Arial" w:hAnsi="Arial" w:cs="Arial"/>
        </w:rPr>
        <w:t>AISI</w:t>
      </w:r>
      <w:r w:rsidR="00FD5270" w:rsidRPr="00122AA1">
        <w:rPr>
          <w:rFonts w:ascii="Arial" w:hAnsi="Arial" w:cs="Arial"/>
        </w:rPr>
        <w:t>)</w:t>
      </w:r>
      <w:r w:rsidRPr="00122AA1">
        <w:rPr>
          <w:rFonts w:ascii="Arial" w:hAnsi="Arial" w:cs="Arial"/>
        </w:rPr>
        <w:t xml:space="preserve"> </w:t>
      </w:r>
      <w:r w:rsidR="004F4FAE" w:rsidRPr="00122AA1">
        <w:rPr>
          <w:rFonts w:ascii="Arial" w:hAnsi="Arial" w:cs="Arial"/>
        </w:rPr>
        <w:t>is</w:t>
      </w:r>
      <w:r w:rsidRPr="00122AA1">
        <w:rPr>
          <w:rFonts w:ascii="Arial" w:hAnsi="Arial" w:cs="Arial"/>
        </w:rPr>
        <w:t xml:space="preserve"> numerous variants of ‘Zeus’. It is primarily</w:t>
      </w:r>
      <w:r w:rsidR="0064165B" w:rsidRPr="00122AA1">
        <w:rPr>
          <w:rFonts w:ascii="Arial" w:hAnsi="Arial" w:cs="Arial"/>
        </w:rPr>
        <w:t xml:space="preserve"> used for banking fraud and </w:t>
      </w:r>
      <w:r w:rsidRPr="00122AA1">
        <w:rPr>
          <w:rFonts w:ascii="Arial" w:hAnsi="Arial" w:cs="Arial"/>
        </w:rPr>
        <w:t>can intercept and modify an infected user's online banking transactions. This then allows cyber criminals to steal money from a</w:t>
      </w:r>
      <w:r w:rsidR="00FD5270" w:rsidRPr="00122AA1">
        <w:rPr>
          <w:rFonts w:ascii="Arial" w:hAnsi="Arial" w:cs="Arial"/>
        </w:rPr>
        <w:t xml:space="preserve"> user’s</w:t>
      </w:r>
      <w:r w:rsidRPr="00122AA1">
        <w:rPr>
          <w:rFonts w:ascii="Arial" w:hAnsi="Arial" w:cs="Arial"/>
        </w:rPr>
        <w:t xml:space="preserve"> infected bank account.</w:t>
      </w:r>
      <w:r w:rsidR="00BE0692" w:rsidRPr="00122AA1">
        <w:rPr>
          <w:rFonts w:ascii="Arial" w:hAnsi="Arial" w:cs="Arial"/>
        </w:rPr>
        <w:t xml:space="preserve"> </w:t>
      </w:r>
      <w:r w:rsidR="00FB1693" w:rsidRPr="00122AA1">
        <w:rPr>
          <w:rFonts w:ascii="Arial" w:hAnsi="Arial" w:cs="Arial"/>
        </w:rPr>
        <w:t>Apps are also emerging as a popular platform for malicious activity, with a number of popular game apps found to include Trojans</w:t>
      </w:r>
      <w:r w:rsidR="00FD5270" w:rsidRPr="00122AA1">
        <w:rPr>
          <w:rFonts w:ascii="Arial" w:hAnsi="Arial" w:cs="Arial"/>
        </w:rPr>
        <w:t xml:space="preserve">. These </w:t>
      </w:r>
      <w:r w:rsidR="00FB1693" w:rsidRPr="00122AA1">
        <w:rPr>
          <w:rFonts w:ascii="Arial" w:hAnsi="Arial" w:cs="Arial"/>
        </w:rPr>
        <w:t xml:space="preserve">collect and share </w:t>
      </w:r>
      <w:r w:rsidR="00120A15" w:rsidRPr="00122AA1">
        <w:rPr>
          <w:rFonts w:ascii="Arial" w:hAnsi="Arial" w:cs="Arial"/>
        </w:rPr>
        <w:t xml:space="preserve">personal information contained on the devices on which </w:t>
      </w:r>
      <w:r w:rsidR="00FD5270" w:rsidRPr="00122AA1">
        <w:rPr>
          <w:rFonts w:ascii="Arial" w:hAnsi="Arial" w:cs="Arial"/>
        </w:rPr>
        <w:t xml:space="preserve">the game apps </w:t>
      </w:r>
      <w:r w:rsidR="00120A15" w:rsidRPr="00122AA1">
        <w:rPr>
          <w:rFonts w:ascii="Arial" w:hAnsi="Arial" w:cs="Arial"/>
        </w:rPr>
        <w:t>are installed.</w:t>
      </w:r>
      <w:r w:rsidR="00120A15" w:rsidRPr="00122AA1">
        <w:rPr>
          <w:rStyle w:val="FootnoteReference"/>
          <w:rFonts w:cs="Arial"/>
        </w:rPr>
        <w:footnoteReference w:id="30"/>
      </w:r>
    </w:p>
    <w:p w:rsidR="00035C81" w:rsidRPr="00122AA1" w:rsidRDefault="00035C81" w:rsidP="004A1FAC">
      <w:pPr>
        <w:rPr>
          <w:rFonts w:ascii="Arial" w:hAnsi="Arial" w:cs="Arial"/>
        </w:rPr>
      </w:pPr>
    </w:p>
    <w:p w:rsidR="00CA4E97" w:rsidRPr="00122AA1" w:rsidRDefault="00CA4E97" w:rsidP="00CA4E97">
      <w:pPr>
        <w:pStyle w:val="Heading2"/>
        <w:rPr>
          <w:rFonts w:ascii="Arial" w:hAnsi="Arial"/>
        </w:rPr>
      </w:pPr>
      <w:bookmarkStart w:id="22" w:name="_Toc359574763"/>
      <w:r w:rsidRPr="00122AA1">
        <w:rPr>
          <w:rFonts w:ascii="Arial" w:hAnsi="Arial"/>
        </w:rPr>
        <w:t>Shared responsibilities</w:t>
      </w:r>
      <w:bookmarkEnd w:id="22"/>
    </w:p>
    <w:p w:rsidR="0064165B" w:rsidRPr="00122AA1" w:rsidRDefault="00EA0914" w:rsidP="004A1FAC">
      <w:pPr>
        <w:rPr>
          <w:rFonts w:ascii="Arial" w:hAnsi="Arial" w:cs="Arial"/>
        </w:rPr>
      </w:pPr>
      <w:r w:rsidRPr="00122AA1">
        <w:rPr>
          <w:rFonts w:ascii="Arial" w:hAnsi="Arial" w:cs="Arial"/>
        </w:rPr>
        <w:t xml:space="preserve">For citizens </w:t>
      </w:r>
      <w:r w:rsidR="006F4E60" w:rsidRPr="00122AA1">
        <w:rPr>
          <w:rFonts w:ascii="Arial" w:hAnsi="Arial" w:cs="Arial"/>
        </w:rPr>
        <w:t>this is a complex</w:t>
      </w:r>
      <w:r w:rsidRPr="00122AA1">
        <w:rPr>
          <w:rFonts w:ascii="Arial" w:hAnsi="Arial" w:cs="Arial"/>
        </w:rPr>
        <w:t xml:space="preserve"> environment</w:t>
      </w:r>
      <w:r w:rsidR="006F4E60" w:rsidRPr="00122AA1">
        <w:rPr>
          <w:rFonts w:ascii="Arial" w:hAnsi="Arial" w:cs="Arial"/>
        </w:rPr>
        <w:t xml:space="preserve"> as they consider how</w:t>
      </w:r>
      <w:r w:rsidRPr="00122AA1">
        <w:rPr>
          <w:rFonts w:ascii="Arial" w:hAnsi="Arial" w:cs="Arial"/>
        </w:rPr>
        <w:t xml:space="preserve"> best </w:t>
      </w:r>
      <w:r w:rsidR="006F4E60" w:rsidRPr="00122AA1">
        <w:rPr>
          <w:rFonts w:ascii="Arial" w:hAnsi="Arial" w:cs="Arial"/>
        </w:rPr>
        <w:t xml:space="preserve">to </w:t>
      </w:r>
      <w:r w:rsidRPr="00122AA1">
        <w:rPr>
          <w:rFonts w:ascii="Arial" w:hAnsi="Arial" w:cs="Arial"/>
        </w:rPr>
        <w:t>manage the information they generate in their economic and social transactions.</w:t>
      </w:r>
      <w:r w:rsidR="008D2B9D" w:rsidRPr="00122AA1">
        <w:rPr>
          <w:rFonts w:ascii="Arial" w:hAnsi="Arial" w:cs="Arial"/>
        </w:rPr>
        <w:t xml:space="preserve"> </w:t>
      </w:r>
    </w:p>
    <w:p w:rsidR="00CA4E97" w:rsidRPr="00122AA1" w:rsidRDefault="00CA4E97" w:rsidP="004A1FAC">
      <w:pPr>
        <w:rPr>
          <w:rFonts w:ascii="Arial" w:hAnsi="Arial" w:cs="Arial"/>
        </w:rPr>
      </w:pPr>
    </w:p>
    <w:p w:rsidR="00CA4E97" w:rsidRPr="00122AA1" w:rsidRDefault="00FD5270" w:rsidP="00CA4E97">
      <w:pPr>
        <w:rPr>
          <w:rFonts w:ascii="Arial" w:hAnsi="Arial" w:cs="Arial"/>
        </w:rPr>
      </w:pPr>
      <w:r w:rsidRPr="00122AA1">
        <w:rPr>
          <w:rFonts w:ascii="Arial" w:hAnsi="Arial" w:cs="Arial"/>
        </w:rPr>
        <w:t>H</w:t>
      </w:r>
      <w:r w:rsidR="00CA4E97" w:rsidRPr="00122AA1">
        <w:rPr>
          <w:rFonts w:ascii="Arial" w:hAnsi="Arial" w:cs="Arial"/>
        </w:rPr>
        <w:t xml:space="preserve">alf the participants in recent ACMA research expected government to play a strong role in protecting their personal data, </w:t>
      </w:r>
      <w:r w:rsidRPr="00122AA1">
        <w:rPr>
          <w:rFonts w:ascii="Arial" w:hAnsi="Arial" w:cs="Arial"/>
        </w:rPr>
        <w:t xml:space="preserve">but </w:t>
      </w:r>
      <w:r w:rsidR="00CA4E97" w:rsidRPr="00122AA1">
        <w:rPr>
          <w:rFonts w:ascii="Arial" w:hAnsi="Arial" w:cs="Arial"/>
        </w:rPr>
        <w:t xml:space="preserve">relatively few (12 per cent) saw government as </w:t>
      </w:r>
      <w:r w:rsidR="00CA4E97" w:rsidRPr="00122AA1">
        <w:rPr>
          <w:rFonts w:ascii="Arial" w:hAnsi="Arial" w:cs="Arial"/>
          <w:i/>
        </w:rPr>
        <w:t xml:space="preserve">solely </w:t>
      </w:r>
      <w:r w:rsidR="00BE0692" w:rsidRPr="00122AA1">
        <w:rPr>
          <w:rFonts w:ascii="Arial" w:hAnsi="Arial" w:cs="Arial"/>
        </w:rPr>
        <w:t>responsible.</w:t>
      </w:r>
      <w:r w:rsidR="00CA4E97" w:rsidRPr="00122AA1">
        <w:rPr>
          <w:rFonts w:ascii="Arial" w:hAnsi="Arial" w:cs="Arial"/>
        </w:rPr>
        <w:t xml:space="preserve"> </w:t>
      </w:r>
      <w:r w:rsidRPr="00122AA1">
        <w:rPr>
          <w:rFonts w:ascii="Arial" w:hAnsi="Arial" w:cs="Arial"/>
        </w:rPr>
        <w:t>Forty-five</w:t>
      </w:r>
      <w:r w:rsidR="00CA4E97" w:rsidRPr="00122AA1">
        <w:rPr>
          <w:rFonts w:ascii="Arial" w:hAnsi="Arial" w:cs="Arial"/>
        </w:rPr>
        <w:t xml:space="preserve"> per cent considered that protection of personal information is a responsibility to be shared equally by users, service providers and government.</w:t>
      </w:r>
      <w:r w:rsidR="00CA4E97" w:rsidRPr="00122AA1">
        <w:rPr>
          <w:rStyle w:val="FootnoteReference"/>
          <w:rFonts w:cs="Arial"/>
        </w:rPr>
        <w:footnoteReference w:id="31"/>
      </w:r>
    </w:p>
    <w:p w:rsidR="00CA4E97" w:rsidRPr="00122AA1" w:rsidRDefault="00CA4E97" w:rsidP="00CA4E97">
      <w:pPr>
        <w:rPr>
          <w:rFonts w:ascii="Arial" w:hAnsi="Arial" w:cs="Arial"/>
        </w:rPr>
      </w:pPr>
    </w:p>
    <w:p w:rsidR="00CA4E97" w:rsidRPr="00122AA1" w:rsidRDefault="00CA4E97" w:rsidP="00CA4E97">
      <w:pPr>
        <w:rPr>
          <w:rFonts w:ascii="Arial" w:hAnsi="Arial" w:cs="Arial"/>
        </w:rPr>
      </w:pPr>
      <w:r w:rsidRPr="00122AA1">
        <w:rPr>
          <w:rFonts w:ascii="Arial" w:hAnsi="Arial" w:cs="Arial"/>
        </w:rPr>
        <w:t xml:space="preserve">These </w:t>
      </w:r>
      <w:r w:rsidR="00632B55" w:rsidRPr="00122AA1">
        <w:rPr>
          <w:rFonts w:ascii="Arial" w:hAnsi="Arial" w:cs="Arial"/>
        </w:rPr>
        <w:t>conclusion</w:t>
      </w:r>
      <w:r w:rsidR="00BC15F7" w:rsidRPr="00122AA1">
        <w:rPr>
          <w:rFonts w:ascii="Arial" w:hAnsi="Arial" w:cs="Arial"/>
        </w:rPr>
        <w:t>s</w:t>
      </w:r>
      <w:r w:rsidRPr="00122AA1">
        <w:rPr>
          <w:rFonts w:ascii="Arial" w:hAnsi="Arial" w:cs="Arial"/>
        </w:rPr>
        <w:t xml:space="preserve"> broadly align with earlier findings relating specifically to the protection of location data</w:t>
      </w:r>
      <w:r w:rsidR="00FD5270" w:rsidRPr="00122AA1">
        <w:rPr>
          <w:rFonts w:ascii="Arial" w:hAnsi="Arial" w:cs="Arial"/>
        </w:rPr>
        <w:t>. These findings</w:t>
      </w:r>
      <w:r w:rsidRPr="00122AA1">
        <w:rPr>
          <w:rFonts w:ascii="Arial" w:hAnsi="Arial" w:cs="Arial"/>
        </w:rPr>
        <w:t xml:space="preserve"> emphasised the importance of personal responsibility, underpinned by more transparent data collection practices by service providers</w:t>
      </w:r>
      <w:r w:rsidR="00FD5270" w:rsidRPr="00122AA1">
        <w:rPr>
          <w:rFonts w:ascii="Arial" w:hAnsi="Arial" w:cs="Arial"/>
        </w:rPr>
        <w:t>,</w:t>
      </w:r>
      <w:r w:rsidRPr="00122AA1">
        <w:rPr>
          <w:rFonts w:ascii="Arial" w:hAnsi="Arial" w:cs="Arial"/>
        </w:rPr>
        <w:t xml:space="preserve"> and a regulatory safety net. </w:t>
      </w:r>
    </w:p>
    <w:p w:rsidR="00CA4E97" w:rsidRPr="00122AA1" w:rsidRDefault="00CA4E97" w:rsidP="00CA4E97">
      <w:pPr>
        <w:rPr>
          <w:rFonts w:ascii="Arial" w:hAnsi="Arial" w:cs="Arial"/>
        </w:rPr>
      </w:pPr>
    </w:p>
    <w:p w:rsidR="00063FE2" w:rsidRPr="00122AA1" w:rsidRDefault="00063FE2" w:rsidP="00063FE2">
      <w:pPr>
        <w:rPr>
          <w:rFonts w:ascii="Arial" w:hAnsi="Arial" w:cs="Arial"/>
        </w:rPr>
      </w:pPr>
      <w:r w:rsidRPr="00122AA1">
        <w:rPr>
          <w:rFonts w:ascii="Arial" w:hAnsi="Arial" w:cs="Arial"/>
        </w:rPr>
        <w:t>The research also shows that consumers expect location service developers and other industry participants to provide information about how location data is used</w:t>
      </w:r>
      <w:r w:rsidR="00FD5270" w:rsidRPr="00122AA1">
        <w:rPr>
          <w:rFonts w:ascii="Arial" w:hAnsi="Arial" w:cs="Arial"/>
        </w:rPr>
        <w:t>.</w:t>
      </w:r>
      <w:r w:rsidRPr="00122AA1">
        <w:rPr>
          <w:rFonts w:ascii="Arial" w:hAnsi="Arial" w:cs="Arial"/>
        </w:rPr>
        <w:t xml:space="preserve"> </w:t>
      </w:r>
      <w:r w:rsidR="00FD5270" w:rsidRPr="00122AA1">
        <w:rPr>
          <w:rFonts w:ascii="Arial" w:hAnsi="Arial" w:cs="Arial"/>
        </w:rPr>
        <w:t>R</w:t>
      </w:r>
      <w:r w:rsidRPr="00122AA1">
        <w:rPr>
          <w:rFonts w:ascii="Arial" w:hAnsi="Arial" w:cs="Arial"/>
        </w:rPr>
        <w:t xml:space="preserve">elatively few </w:t>
      </w:r>
      <w:r w:rsidR="00FD5270" w:rsidRPr="00122AA1">
        <w:rPr>
          <w:rFonts w:ascii="Arial" w:hAnsi="Arial" w:cs="Arial"/>
        </w:rPr>
        <w:t xml:space="preserve">considered </w:t>
      </w:r>
      <w:r w:rsidRPr="00122AA1">
        <w:rPr>
          <w:rFonts w:ascii="Arial" w:hAnsi="Arial" w:cs="Arial"/>
        </w:rPr>
        <w:t>this to be a government responsibility.</w:t>
      </w:r>
      <w:r w:rsidRPr="00122AA1">
        <w:rPr>
          <w:rStyle w:val="FootnoteReference"/>
          <w:rFonts w:cs="Arial"/>
        </w:rPr>
        <w:footnoteReference w:id="32"/>
      </w:r>
    </w:p>
    <w:p w:rsidR="00063FE2" w:rsidRPr="00122AA1" w:rsidRDefault="00063FE2" w:rsidP="00063FE2">
      <w:pPr>
        <w:rPr>
          <w:rFonts w:ascii="Arial" w:hAnsi="Arial" w:cs="Arial"/>
        </w:rPr>
      </w:pPr>
    </w:p>
    <w:tbl>
      <w:tblPr>
        <w:tblW w:w="9645" w:type="dxa"/>
        <w:tblLayout w:type="fixed"/>
        <w:tblCellMar>
          <w:left w:w="0" w:type="dxa"/>
          <w:right w:w="0" w:type="dxa"/>
        </w:tblCellMar>
        <w:tblLook w:val="01E0"/>
      </w:tblPr>
      <w:tblGrid>
        <w:gridCol w:w="9645"/>
      </w:tblGrid>
      <w:tr w:rsidR="001779E5" w:rsidRPr="00122AA1">
        <w:trPr>
          <w:trHeight w:val="570"/>
        </w:trPr>
        <w:tc>
          <w:tcPr>
            <w:tcW w:w="9645" w:type="dxa"/>
            <w:tcBorders>
              <w:top w:val="single" w:sz="2" w:space="0" w:color="505050"/>
            </w:tcBorders>
            <w:shd w:val="clear" w:color="auto" w:fill="auto"/>
            <w:vAlign w:val="center"/>
          </w:tcPr>
          <w:p w:rsidR="001779E5" w:rsidRPr="00122AA1" w:rsidRDefault="001779E5">
            <w:pPr>
              <w:pStyle w:val="Caption"/>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9</w:t>
            </w:r>
            <w:r w:rsidR="00302C7D" w:rsidRPr="00122AA1">
              <w:rPr>
                <w:rFonts w:ascii="Arial" w:hAnsi="Arial" w:cs="Arial"/>
              </w:rPr>
              <w:fldChar w:fldCharType="end"/>
            </w:r>
            <w:r w:rsidRPr="00122AA1">
              <w:rPr>
                <w:rFonts w:ascii="Arial" w:hAnsi="Arial" w:cs="Arial"/>
              </w:rPr>
              <w:t xml:space="preserve"> Responsibility for providing information and advice</w:t>
            </w:r>
          </w:p>
        </w:tc>
      </w:tr>
      <w:tr w:rsidR="001779E5" w:rsidRPr="00122AA1">
        <w:trPr>
          <w:trHeight w:val="3086"/>
        </w:trPr>
        <w:tc>
          <w:tcPr>
            <w:tcW w:w="9645" w:type="dxa"/>
            <w:shd w:val="clear" w:color="auto" w:fill="auto"/>
            <w:tcMar>
              <w:left w:w="28" w:type="dxa"/>
            </w:tcMar>
          </w:tcPr>
          <w:p w:rsidR="001779E5" w:rsidRPr="00122AA1" w:rsidRDefault="001779E5">
            <w:pPr>
              <w:rPr>
                <w:rFonts w:ascii="Arial" w:hAnsi="Arial" w:cs="Arial"/>
              </w:rPr>
            </w:pPr>
            <w:r w:rsidRPr="00122AA1">
              <w:rPr>
                <w:rFonts w:ascii="Arial" w:hAnsi="Arial" w:cs="Arial"/>
                <w:noProof/>
              </w:rPr>
              <w:drawing>
                <wp:inline distT="0" distB="0" distL="0" distR="0">
                  <wp:extent cx="6105525" cy="3333750"/>
                  <wp:effectExtent l="19050" t="0" r="9525" b="0"/>
                  <wp:docPr id="1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srcRect/>
                          <a:stretch>
                            <a:fillRect/>
                          </a:stretch>
                        </pic:blipFill>
                        <pic:spPr bwMode="auto">
                          <a:xfrm>
                            <a:off x="0" y="0"/>
                            <a:ext cx="6105525" cy="3333750"/>
                          </a:xfrm>
                          <a:prstGeom prst="rect">
                            <a:avLst/>
                          </a:prstGeom>
                          <a:noFill/>
                          <a:ln w="9525">
                            <a:noFill/>
                            <a:miter lim="800000"/>
                            <a:headEnd/>
                            <a:tailEnd/>
                          </a:ln>
                        </pic:spPr>
                      </pic:pic>
                    </a:graphicData>
                  </a:graphic>
                </wp:inline>
              </w:drawing>
            </w:r>
          </w:p>
        </w:tc>
      </w:tr>
      <w:tr w:rsidR="001779E5" w:rsidRPr="00122AA1">
        <w:trPr>
          <w:trHeight w:val="291"/>
        </w:trPr>
        <w:tc>
          <w:tcPr>
            <w:tcW w:w="9645" w:type="dxa"/>
            <w:tcBorders>
              <w:bottom w:val="single" w:sz="2" w:space="0" w:color="505050"/>
            </w:tcBorders>
            <w:shd w:val="clear" w:color="auto" w:fill="auto"/>
          </w:tcPr>
          <w:p w:rsidR="001779E5" w:rsidRPr="00122AA1" w:rsidRDefault="001779E5" w:rsidP="001779E5">
            <w:pPr>
              <w:rPr>
                <w:rFonts w:ascii="Arial" w:hAnsi="Arial" w:cs="Arial"/>
                <w:i/>
                <w:sz w:val="16"/>
                <w:szCs w:val="16"/>
              </w:rPr>
            </w:pPr>
            <w:r w:rsidRPr="00122AA1">
              <w:rPr>
                <w:rFonts w:ascii="Arial" w:hAnsi="Arial" w:cs="Arial"/>
                <w:i/>
                <w:sz w:val="16"/>
                <w:szCs w:val="16"/>
              </w:rPr>
              <w:t>C8—Who has the most responsibility for providing this information and advice?</w:t>
            </w:r>
          </w:p>
          <w:p w:rsidR="001779E5" w:rsidRPr="00122AA1" w:rsidRDefault="001779E5" w:rsidP="001779E5">
            <w:pPr>
              <w:rPr>
                <w:rFonts w:ascii="Arial" w:hAnsi="Arial" w:cs="Arial"/>
              </w:rPr>
            </w:pPr>
            <w:r w:rsidRPr="00122AA1">
              <w:rPr>
                <w:rFonts w:ascii="Arial" w:hAnsi="Arial" w:cs="Arial"/>
                <w:bCs/>
                <w:i/>
                <w:sz w:val="16"/>
                <w:szCs w:val="16"/>
              </w:rPr>
              <w:t>Base: Total sample n=294.</w:t>
            </w:r>
          </w:p>
        </w:tc>
      </w:tr>
    </w:tbl>
    <w:p w:rsidR="001779E5" w:rsidRPr="00122AA1" w:rsidRDefault="001779E5" w:rsidP="00063FE2">
      <w:pPr>
        <w:rPr>
          <w:rFonts w:ascii="Arial" w:hAnsi="Arial" w:cs="Arial"/>
        </w:rPr>
      </w:pPr>
    </w:p>
    <w:p w:rsidR="00CA4E97" w:rsidRPr="00122AA1" w:rsidRDefault="00632B55" w:rsidP="004A1FAC">
      <w:pPr>
        <w:rPr>
          <w:rFonts w:ascii="Arial" w:hAnsi="Arial" w:cs="Arial"/>
        </w:rPr>
      </w:pPr>
      <w:r w:rsidRPr="00122AA1">
        <w:rPr>
          <w:rFonts w:ascii="Arial" w:hAnsi="Arial" w:cs="Arial"/>
        </w:rPr>
        <w:t xml:space="preserve">Any future interventions in the digital information environment will need to take account of the </w:t>
      </w:r>
      <w:r w:rsidR="001B31C0" w:rsidRPr="00122AA1">
        <w:rPr>
          <w:rFonts w:ascii="Arial" w:hAnsi="Arial" w:cs="Arial"/>
        </w:rPr>
        <w:t>shared approach to developing solutions and protection arrangements.</w:t>
      </w:r>
    </w:p>
    <w:p w:rsidR="00B57982" w:rsidRPr="00122AA1" w:rsidRDefault="00CA4E97" w:rsidP="00193BC4">
      <w:pPr>
        <w:pStyle w:val="Heading1"/>
        <w:rPr>
          <w:rFonts w:ascii="Arial" w:hAnsi="Arial"/>
        </w:rPr>
      </w:pPr>
      <w:bookmarkStart w:id="23" w:name="_Toc359574764"/>
      <w:r w:rsidRPr="00122AA1">
        <w:rPr>
          <w:rFonts w:ascii="Arial" w:hAnsi="Arial"/>
        </w:rPr>
        <w:t>I</w:t>
      </w:r>
      <w:r w:rsidR="00035C81" w:rsidRPr="00122AA1">
        <w:rPr>
          <w:rFonts w:ascii="Arial" w:hAnsi="Arial"/>
        </w:rPr>
        <w:t>mplications for regulatory settings</w:t>
      </w:r>
      <w:bookmarkEnd w:id="23"/>
      <w:r w:rsidR="00035C81" w:rsidRPr="00122AA1">
        <w:rPr>
          <w:rFonts w:ascii="Arial" w:hAnsi="Arial"/>
        </w:rPr>
        <w:t xml:space="preserve"> </w:t>
      </w:r>
    </w:p>
    <w:p w:rsidR="00380415" w:rsidRPr="00122AA1" w:rsidRDefault="00A717B8">
      <w:pPr>
        <w:rPr>
          <w:rFonts w:ascii="Arial" w:hAnsi="Arial" w:cs="Arial"/>
        </w:rPr>
      </w:pPr>
      <w:r w:rsidRPr="00122AA1">
        <w:rPr>
          <w:rFonts w:ascii="Arial" w:hAnsi="Arial" w:cs="Arial"/>
        </w:rPr>
        <w:t>This chapter considers the impact of the integration of digital data in social and economic transactions</w:t>
      </w:r>
      <w:r w:rsidR="00FD5270" w:rsidRPr="00122AA1">
        <w:rPr>
          <w:rFonts w:ascii="Arial" w:hAnsi="Arial" w:cs="Arial"/>
        </w:rPr>
        <w:t xml:space="preserve">. It also discusses </w:t>
      </w:r>
      <w:r w:rsidRPr="00122AA1">
        <w:rPr>
          <w:rFonts w:ascii="Arial" w:hAnsi="Arial" w:cs="Arial"/>
        </w:rPr>
        <w:t>the implications for existing communications priva</w:t>
      </w:r>
      <w:r w:rsidR="00BE0692" w:rsidRPr="00122AA1">
        <w:rPr>
          <w:rFonts w:ascii="Arial" w:hAnsi="Arial" w:cs="Arial"/>
        </w:rPr>
        <w:t>cy protections and obligations.</w:t>
      </w:r>
      <w:r w:rsidRPr="00122AA1">
        <w:rPr>
          <w:rFonts w:ascii="Arial" w:hAnsi="Arial" w:cs="Arial"/>
        </w:rPr>
        <w:t xml:space="preserve"> </w:t>
      </w:r>
    </w:p>
    <w:p w:rsidR="00114D2D" w:rsidRPr="00122AA1" w:rsidRDefault="00114D2D" w:rsidP="0016631E">
      <w:pPr>
        <w:rPr>
          <w:rFonts w:ascii="Arial" w:hAnsi="Arial" w:cs="Arial"/>
        </w:rPr>
      </w:pPr>
    </w:p>
    <w:p w:rsidR="00331B4E" w:rsidRPr="00122AA1" w:rsidRDefault="0016631E">
      <w:pPr>
        <w:spacing w:after="80"/>
        <w:rPr>
          <w:rFonts w:ascii="Arial" w:hAnsi="Arial" w:cs="Arial"/>
        </w:rPr>
      </w:pPr>
      <w:r w:rsidRPr="00122AA1">
        <w:rPr>
          <w:rFonts w:ascii="Arial" w:hAnsi="Arial" w:cs="Arial"/>
        </w:rPr>
        <w:t xml:space="preserve">There are </w:t>
      </w:r>
      <w:r w:rsidR="003B2A6A" w:rsidRPr="00122AA1">
        <w:rPr>
          <w:rFonts w:ascii="Arial" w:hAnsi="Arial" w:cs="Arial"/>
        </w:rPr>
        <w:t>significant</w:t>
      </w:r>
      <w:r w:rsidRPr="00122AA1">
        <w:rPr>
          <w:rFonts w:ascii="Arial" w:hAnsi="Arial" w:cs="Arial"/>
        </w:rPr>
        <w:t xml:space="preserve"> challenges in considering whether</w:t>
      </w:r>
      <w:r w:rsidR="00FD5270" w:rsidRPr="00122AA1">
        <w:rPr>
          <w:rFonts w:ascii="Arial" w:hAnsi="Arial" w:cs="Arial"/>
        </w:rPr>
        <w:t>:</w:t>
      </w:r>
    </w:p>
    <w:p w:rsidR="00331B4E" w:rsidRPr="00122AA1" w:rsidRDefault="00EA0914" w:rsidP="001779E5">
      <w:pPr>
        <w:pStyle w:val="ListBullet"/>
        <w:rPr>
          <w:rFonts w:ascii="Arial" w:hAnsi="Arial" w:cs="Arial"/>
        </w:rPr>
      </w:pPr>
      <w:r w:rsidRPr="00122AA1">
        <w:rPr>
          <w:rFonts w:ascii="Arial" w:hAnsi="Arial" w:cs="Arial"/>
        </w:rPr>
        <w:t>the suite of existing regulatory safeguards translates into the digital environment</w:t>
      </w:r>
    </w:p>
    <w:p w:rsidR="00331B4E" w:rsidRPr="00122AA1" w:rsidRDefault="00EA0914" w:rsidP="001779E5">
      <w:pPr>
        <w:pStyle w:val="ListBullet"/>
        <w:spacing w:after="240"/>
        <w:rPr>
          <w:rFonts w:ascii="Arial" w:hAnsi="Arial" w:cs="Arial"/>
        </w:rPr>
      </w:pPr>
      <w:r w:rsidRPr="00122AA1">
        <w:rPr>
          <w:rFonts w:ascii="Arial" w:hAnsi="Arial" w:cs="Arial"/>
        </w:rPr>
        <w:t>other approaches are needed for safeguarding citizens’ privacy and personal data in a networked society and information economy.</w:t>
      </w:r>
    </w:p>
    <w:p w:rsidR="004A1FAC" w:rsidRPr="00122AA1" w:rsidRDefault="00423B17" w:rsidP="00423B17">
      <w:pPr>
        <w:pStyle w:val="Heading2"/>
        <w:rPr>
          <w:rFonts w:ascii="Arial" w:hAnsi="Arial"/>
        </w:rPr>
      </w:pPr>
      <w:bookmarkStart w:id="24" w:name="_Toc359574765"/>
      <w:r w:rsidRPr="00122AA1">
        <w:rPr>
          <w:rFonts w:ascii="Arial" w:hAnsi="Arial"/>
        </w:rPr>
        <w:t>Economy-wide and industry</w:t>
      </w:r>
      <w:r w:rsidR="00FD5270" w:rsidRPr="00122AA1">
        <w:rPr>
          <w:rFonts w:ascii="Arial" w:hAnsi="Arial"/>
        </w:rPr>
        <w:t>-</w:t>
      </w:r>
      <w:r w:rsidRPr="00122AA1">
        <w:rPr>
          <w:rFonts w:ascii="Arial" w:hAnsi="Arial"/>
        </w:rPr>
        <w:t>specific regulation</w:t>
      </w:r>
      <w:bookmarkEnd w:id="24"/>
    </w:p>
    <w:p w:rsidR="005368C0" w:rsidRPr="00122AA1" w:rsidRDefault="005368C0" w:rsidP="00DB052E">
      <w:pPr>
        <w:rPr>
          <w:rFonts w:ascii="Arial" w:hAnsi="Arial" w:cs="Arial"/>
        </w:rPr>
      </w:pPr>
      <w:r w:rsidRPr="00122AA1">
        <w:rPr>
          <w:rFonts w:ascii="Arial" w:hAnsi="Arial" w:cs="Arial"/>
        </w:rPr>
        <w:t xml:space="preserve">Citizens have longstanding expectations that their person-to-person communications will be confidential and that they will have control over the range of entities with </w:t>
      </w:r>
      <w:r w:rsidR="004F4FAE" w:rsidRPr="00122AA1">
        <w:rPr>
          <w:rFonts w:ascii="Arial" w:hAnsi="Arial" w:cs="Arial"/>
        </w:rPr>
        <w:t>which</w:t>
      </w:r>
      <w:r w:rsidRPr="00122AA1">
        <w:rPr>
          <w:rFonts w:ascii="Arial" w:hAnsi="Arial" w:cs="Arial"/>
        </w:rPr>
        <w:t xml:space="preserve"> information is shared. </w:t>
      </w:r>
      <w:r w:rsidR="003C2AA9" w:rsidRPr="00122AA1">
        <w:rPr>
          <w:rFonts w:ascii="Arial" w:hAnsi="Arial" w:cs="Arial"/>
        </w:rPr>
        <w:t>In many cases, t</w:t>
      </w:r>
      <w:r w:rsidRPr="00122AA1">
        <w:rPr>
          <w:rFonts w:ascii="Arial" w:hAnsi="Arial" w:cs="Arial"/>
        </w:rPr>
        <w:t>he viability of modern channels of communication is underpinned by an understanding that the information being conveyed will not be disclosed to a third party.</w:t>
      </w:r>
    </w:p>
    <w:p w:rsidR="00DB052E" w:rsidRPr="00122AA1" w:rsidRDefault="00DB052E" w:rsidP="00DB052E">
      <w:pPr>
        <w:rPr>
          <w:rFonts w:ascii="Arial" w:hAnsi="Arial" w:cs="Arial"/>
        </w:rPr>
      </w:pPr>
    </w:p>
    <w:p w:rsidR="00B57982" w:rsidRPr="00122AA1" w:rsidRDefault="00B57982" w:rsidP="00DB052E">
      <w:pPr>
        <w:pStyle w:val="ListBullet"/>
        <w:numPr>
          <w:ilvl w:val="0"/>
          <w:numId w:val="0"/>
        </w:numPr>
        <w:spacing w:after="0"/>
        <w:ind w:hanging="11"/>
        <w:rPr>
          <w:rFonts w:ascii="Arial" w:hAnsi="Arial" w:cs="Arial"/>
        </w:rPr>
      </w:pPr>
      <w:r w:rsidRPr="00122AA1">
        <w:rPr>
          <w:rFonts w:ascii="Arial" w:hAnsi="Arial" w:cs="Arial"/>
        </w:rPr>
        <w:t xml:space="preserve">Protection of privacy and personal </w:t>
      </w:r>
      <w:r w:rsidR="004474E0" w:rsidRPr="00122AA1">
        <w:rPr>
          <w:rFonts w:ascii="Arial" w:hAnsi="Arial" w:cs="Arial"/>
        </w:rPr>
        <w:t xml:space="preserve">information </w:t>
      </w:r>
      <w:r w:rsidRPr="00122AA1">
        <w:rPr>
          <w:rFonts w:ascii="Arial" w:hAnsi="Arial" w:cs="Arial"/>
        </w:rPr>
        <w:t>has been a core element of the media and communications regulatory framework</w:t>
      </w:r>
      <w:r w:rsidR="003C2AA9" w:rsidRPr="00122AA1">
        <w:rPr>
          <w:rFonts w:ascii="Arial" w:hAnsi="Arial" w:cs="Arial"/>
        </w:rPr>
        <w:t>. It</w:t>
      </w:r>
      <w:r w:rsidR="0016631E" w:rsidRPr="00122AA1">
        <w:rPr>
          <w:rFonts w:ascii="Arial" w:hAnsi="Arial" w:cs="Arial"/>
        </w:rPr>
        <w:t xml:space="preserve"> has been supported </w:t>
      </w:r>
      <w:r w:rsidR="003C2AA9" w:rsidRPr="00122AA1">
        <w:rPr>
          <w:rFonts w:ascii="Arial" w:hAnsi="Arial" w:cs="Arial"/>
        </w:rPr>
        <w:t xml:space="preserve">by </w:t>
      </w:r>
      <w:r w:rsidR="0016631E" w:rsidRPr="00122AA1">
        <w:rPr>
          <w:rFonts w:ascii="Arial" w:hAnsi="Arial" w:cs="Arial"/>
        </w:rPr>
        <w:t xml:space="preserve">a mix of </w:t>
      </w:r>
      <w:r w:rsidR="00423B17" w:rsidRPr="00122AA1">
        <w:rPr>
          <w:rFonts w:ascii="Arial" w:hAnsi="Arial" w:cs="Arial"/>
        </w:rPr>
        <w:t xml:space="preserve">economy-wide </w:t>
      </w:r>
      <w:r w:rsidR="0016631E" w:rsidRPr="00122AA1">
        <w:rPr>
          <w:rFonts w:ascii="Arial" w:hAnsi="Arial" w:cs="Arial"/>
        </w:rPr>
        <w:t>and sector-specific measures</w:t>
      </w:r>
      <w:r w:rsidR="00BE0692" w:rsidRPr="00122AA1">
        <w:rPr>
          <w:rFonts w:ascii="Arial" w:hAnsi="Arial" w:cs="Arial"/>
        </w:rPr>
        <w:t>.</w:t>
      </w:r>
      <w:r w:rsidR="0016631E" w:rsidRPr="00122AA1">
        <w:rPr>
          <w:rFonts w:ascii="Arial" w:hAnsi="Arial" w:cs="Arial"/>
        </w:rPr>
        <w:t xml:space="preserve"> Varying protections, obligations and information disclosure requirements and responsibilities are shared </w:t>
      </w:r>
      <w:r w:rsidR="00BE0692" w:rsidRPr="00122AA1">
        <w:rPr>
          <w:rFonts w:ascii="Arial" w:hAnsi="Arial" w:cs="Arial"/>
        </w:rPr>
        <w:t>among</w:t>
      </w:r>
      <w:r w:rsidR="0016631E" w:rsidRPr="00122AA1">
        <w:rPr>
          <w:rFonts w:ascii="Arial" w:hAnsi="Arial" w:cs="Arial"/>
        </w:rPr>
        <w:t xml:space="preserve"> a range of Commonwealth and </w:t>
      </w:r>
      <w:r w:rsidR="003C2AA9" w:rsidRPr="00122AA1">
        <w:rPr>
          <w:rFonts w:ascii="Arial" w:hAnsi="Arial" w:cs="Arial"/>
        </w:rPr>
        <w:t>s</w:t>
      </w:r>
      <w:r w:rsidR="0016631E" w:rsidRPr="00122AA1">
        <w:rPr>
          <w:rFonts w:ascii="Arial" w:hAnsi="Arial" w:cs="Arial"/>
        </w:rPr>
        <w:t>tate regulatory bodies</w:t>
      </w:r>
      <w:r w:rsidR="003C2AA9" w:rsidRPr="00122AA1">
        <w:rPr>
          <w:rFonts w:ascii="Arial" w:hAnsi="Arial" w:cs="Arial"/>
        </w:rPr>
        <w:t xml:space="preserve">, </w:t>
      </w:r>
      <w:r w:rsidR="0016631E" w:rsidRPr="00122AA1">
        <w:rPr>
          <w:rFonts w:ascii="Arial" w:hAnsi="Arial" w:cs="Arial"/>
        </w:rPr>
        <w:t>including the ACMA</w:t>
      </w:r>
      <w:r w:rsidR="003C2AA9" w:rsidRPr="00122AA1">
        <w:rPr>
          <w:rFonts w:ascii="Arial" w:hAnsi="Arial" w:cs="Arial"/>
        </w:rPr>
        <w:t xml:space="preserve"> in its</w:t>
      </w:r>
      <w:r w:rsidR="0016631E" w:rsidRPr="00122AA1">
        <w:rPr>
          <w:rFonts w:ascii="Arial" w:hAnsi="Arial" w:cs="Arial"/>
        </w:rPr>
        <w:t xml:space="preserve"> communications and media privacy regulation</w:t>
      </w:r>
      <w:r w:rsidR="003C2AA9" w:rsidRPr="00122AA1">
        <w:rPr>
          <w:rFonts w:ascii="Arial" w:hAnsi="Arial" w:cs="Arial"/>
        </w:rPr>
        <w:t xml:space="preserve"> role</w:t>
      </w:r>
      <w:r w:rsidR="0016631E" w:rsidRPr="00122AA1">
        <w:rPr>
          <w:rFonts w:ascii="Arial" w:hAnsi="Arial" w:cs="Arial"/>
        </w:rPr>
        <w:t>.</w:t>
      </w:r>
    </w:p>
    <w:p w:rsidR="00DB052E" w:rsidRPr="00122AA1" w:rsidRDefault="00DB052E" w:rsidP="00DB052E">
      <w:pPr>
        <w:pStyle w:val="ListBullet"/>
        <w:numPr>
          <w:ilvl w:val="0"/>
          <w:numId w:val="0"/>
        </w:numPr>
        <w:spacing w:after="0"/>
        <w:ind w:hanging="11"/>
        <w:rPr>
          <w:rFonts w:ascii="Arial" w:hAnsi="Arial" w:cs="Arial"/>
        </w:rPr>
      </w:pPr>
    </w:p>
    <w:p w:rsidR="00161A53" w:rsidRPr="00122AA1" w:rsidRDefault="00332597" w:rsidP="00DB052E">
      <w:pPr>
        <w:pStyle w:val="ListBullet"/>
        <w:numPr>
          <w:ilvl w:val="0"/>
          <w:numId w:val="0"/>
        </w:numPr>
        <w:spacing w:after="0"/>
        <w:ind w:hanging="11"/>
        <w:rPr>
          <w:rFonts w:ascii="Arial" w:hAnsi="Arial" w:cs="Arial"/>
        </w:rPr>
      </w:pPr>
      <w:r w:rsidRPr="00122AA1">
        <w:rPr>
          <w:rFonts w:ascii="Arial" w:hAnsi="Arial" w:cs="Arial"/>
        </w:rPr>
        <w:t xml:space="preserve">The </w:t>
      </w:r>
      <w:r w:rsidR="00161A53" w:rsidRPr="00122AA1">
        <w:rPr>
          <w:rFonts w:ascii="Arial" w:hAnsi="Arial" w:cs="Arial"/>
        </w:rPr>
        <w:t>Privacy Act—</w:t>
      </w:r>
      <w:r w:rsidR="00AF400D" w:rsidRPr="00122AA1">
        <w:rPr>
          <w:rFonts w:ascii="Arial" w:hAnsi="Arial" w:cs="Arial"/>
        </w:rPr>
        <w:t>administered by the OAIC</w:t>
      </w:r>
      <w:r w:rsidR="00161A53" w:rsidRPr="00122AA1">
        <w:rPr>
          <w:rFonts w:ascii="Arial" w:hAnsi="Arial" w:cs="Arial"/>
        </w:rPr>
        <w:t>—</w:t>
      </w:r>
      <w:r w:rsidRPr="00122AA1">
        <w:rPr>
          <w:rFonts w:ascii="Arial" w:hAnsi="Arial" w:cs="Arial"/>
        </w:rPr>
        <w:t>establishes</w:t>
      </w:r>
      <w:r w:rsidR="00AF400D" w:rsidRPr="00122AA1">
        <w:rPr>
          <w:rFonts w:ascii="Arial" w:hAnsi="Arial" w:cs="Arial"/>
        </w:rPr>
        <w:t xml:space="preserve"> </w:t>
      </w:r>
      <w:r w:rsidRPr="00122AA1">
        <w:rPr>
          <w:rFonts w:ascii="Arial" w:hAnsi="Arial" w:cs="Arial"/>
        </w:rPr>
        <w:t xml:space="preserve">economy-wide protections over personal data, including notification requirements for privacy breaches </w:t>
      </w:r>
      <w:r w:rsidR="00FF7858" w:rsidRPr="00122AA1">
        <w:rPr>
          <w:rFonts w:ascii="Arial" w:hAnsi="Arial" w:cs="Arial"/>
        </w:rPr>
        <w:t>by</w:t>
      </w:r>
      <w:r w:rsidRPr="00122AA1">
        <w:rPr>
          <w:rFonts w:ascii="Arial" w:hAnsi="Arial" w:cs="Arial"/>
        </w:rPr>
        <w:t xml:space="preserve"> government agencies</w:t>
      </w:r>
      <w:r w:rsidR="00DA26A5" w:rsidRPr="00122AA1">
        <w:rPr>
          <w:rFonts w:ascii="Arial" w:hAnsi="Arial" w:cs="Arial"/>
        </w:rPr>
        <w:t>,</w:t>
      </w:r>
      <w:r w:rsidRPr="00122AA1">
        <w:rPr>
          <w:rFonts w:ascii="Arial" w:hAnsi="Arial" w:cs="Arial"/>
        </w:rPr>
        <w:t xml:space="preserve"> health service provide</w:t>
      </w:r>
      <w:r w:rsidR="00FF7858" w:rsidRPr="00122AA1">
        <w:rPr>
          <w:rFonts w:ascii="Arial" w:hAnsi="Arial" w:cs="Arial"/>
        </w:rPr>
        <w:t>r</w:t>
      </w:r>
      <w:r w:rsidRPr="00122AA1">
        <w:rPr>
          <w:rFonts w:ascii="Arial" w:hAnsi="Arial" w:cs="Arial"/>
        </w:rPr>
        <w:t>s and businesses</w:t>
      </w:r>
      <w:r w:rsidR="00DA26A5" w:rsidRPr="00122AA1">
        <w:rPr>
          <w:rFonts w:ascii="Arial" w:hAnsi="Arial" w:cs="Arial"/>
        </w:rPr>
        <w:t>,</w:t>
      </w:r>
      <w:r w:rsidRPr="00122AA1">
        <w:rPr>
          <w:rFonts w:ascii="Arial" w:hAnsi="Arial" w:cs="Arial"/>
        </w:rPr>
        <w:t xml:space="preserve"> and non-government agencies with turnover exceeding $3 million.</w:t>
      </w:r>
    </w:p>
    <w:p w:rsidR="00B041E7" w:rsidRPr="00122AA1" w:rsidRDefault="00B041E7" w:rsidP="00DB052E">
      <w:pPr>
        <w:pStyle w:val="ListBullet"/>
        <w:numPr>
          <w:ilvl w:val="0"/>
          <w:numId w:val="0"/>
        </w:numPr>
        <w:spacing w:after="0"/>
        <w:ind w:hanging="11"/>
        <w:rPr>
          <w:rFonts w:ascii="Arial" w:hAnsi="Arial" w:cs="Arial"/>
        </w:rPr>
      </w:pPr>
    </w:p>
    <w:p w:rsidR="00A202EA" w:rsidRPr="00122AA1" w:rsidRDefault="003D7B1D" w:rsidP="00161A53">
      <w:pPr>
        <w:pStyle w:val="ListBullet"/>
        <w:numPr>
          <w:ilvl w:val="0"/>
          <w:numId w:val="0"/>
        </w:numPr>
        <w:rPr>
          <w:rFonts w:ascii="Arial" w:hAnsi="Arial" w:cs="Arial"/>
        </w:rPr>
      </w:pPr>
      <w:r w:rsidRPr="00122AA1">
        <w:rPr>
          <w:rFonts w:ascii="Arial" w:hAnsi="Arial" w:cs="Arial"/>
        </w:rPr>
        <w:t xml:space="preserve">It </w:t>
      </w:r>
      <w:r w:rsidR="005114C5" w:rsidRPr="00122AA1">
        <w:rPr>
          <w:rFonts w:ascii="Arial" w:hAnsi="Arial" w:cs="Arial"/>
        </w:rPr>
        <w:t>includes</w:t>
      </w:r>
      <w:r w:rsidR="00996E9D" w:rsidRPr="00122AA1">
        <w:rPr>
          <w:rFonts w:ascii="Arial" w:hAnsi="Arial" w:cs="Arial"/>
        </w:rPr>
        <w:t xml:space="preserve"> privacy principles </w:t>
      </w:r>
      <w:r w:rsidR="005114C5" w:rsidRPr="00122AA1">
        <w:rPr>
          <w:rFonts w:ascii="Arial" w:hAnsi="Arial" w:cs="Arial"/>
        </w:rPr>
        <w:t>that apply to the handling of personal information by most Australian, ACT and Norfolk Island public sector agencies</w:t>
      </w:r>
      <w:r w:rsidR="00996E9D" w:rsidRPr="00122AA1">
        <w:rPr>
          <w:rFonts w:ascii="Arial" w:hAnsi="Arial" w:cs="Arial"/>
        </w:rPr>
        <w:t xml:space="preserve">, </w:t>
      </w:r>
      <w:r w:rsidR="005114C5" w:rsidRPr="00122AA1">
        <w:rPr>
          <w:rFonts w:ascii="Arial" w:hAnsi="Arial" w:cs="Arial"/>
        </w:rPr>
        <w:t>large businesses, all health service providers and some small businesses and non-government organisations</w:t>
      </w:r>
      <w:r w:rsidR="00996E9D" w:rsidRPr="00122AA1">
        <w:rPr>
          <w:rFonts w:ascii="Arial" w:hAnsi="Arial" w:cs="Arial"/>
        </w:rPr>
        <w:t>. It also:</w:t>
      </w:r>
    </w:p>
    <w:p w:rsidR="00A202EA" w:rsidRPr="00122AA1" w:rsidRDefault="00A202EA" w:rsidP="00B041E7">
      <w:pPr>
        <w:pStyle w:val="ListBullet"/>
        <w:rPr>
          <w:rFonts w:ascii="Arial" w:hAnsi="Arial" w:cs="Arial"/>
        </w:rPr>
      </w:pPr>
      <w:r w:rsidRPr="00122AA1">
        <w:rPr>
          <w:rFonts w:ascii="Arial" w:hAnsi="Arial" w:cs="Arial"/>
        </w:rPr>
        <w:t>specifies credit reporting provisions that apply to the handling of credit reports and other credit worthiness information about individuals by credit reporting agencies, credit pr</w:t>
      </w:r>
      <w:r w:rsidR="00996E9D" w:rsidRPr="00122AA1">
        <w:rPr>
          <w:rFonts w:ascii="Arial" w:hAnsi="Arial" w:cs="Arial"/>
        </w:rPr>
        <w:t>oviders and some third parties</w:t>
      </w:r>
    </w:p>
    <w:p w:rsidR="00A202EA" w:rsidRPr="00122AA1" w:rsidRDefault="005114C5" w:rsidP="00B041E7">
      <w:pPr>
        <w:pStyle w:val="ListBullet"/>
        <w:rPr>
          <w:rFonts w:ascii="Arial" w:hAnsi="Arial" w:cs="Arial"/>
        </w:rPr>
      </w:pPr>
      <w:r w:rsidRPr="00122AA1">
        <w:rPr>
          <w:rFonts w:ascii="Arial" w:hAnsi="Arial" w:cs="Arial"/>
        </w:rPr>
        <w:t>regulates the collection, storage, use, disclosure, security and disposal of individuals</w:t>
      </w:r>
      <w:r w:rsidR="00161A53" w:rsidRPr="00122AA1">
        <w:rPr>
          <w:rFonts w:ascii="Arial" w:hAnsi="Arial" w:cs="Arial"/>
        </w:rPr>
        <w:t>’</w:t>
      </w:r>
      <w:r w:rsidRPr="00122AA1">
        <w:rPr>
          <w:rFonts w:ascii="Arial" w:hAnsi="Arial" w:cs="Arial"/>
        </w:rPr>
        <w:t xml:space="preserve"> tax file numbers</w:t>
      </w:r>
    </w:p>
    <w:p w:rsidR="00A202EA" w:rsidRPr="00122AA1" w:rsidRDefault="005114C5" w:rsidP="00B041E7">
      <w:pPr>
        <w:pStyle w:val="ListBullet"/>
        <w:rPr>
          <w:rFonts w:ascii="Arial" w:hAnsi="Arial" w:cs="Arial"/>
        </w:rPr>
      </w:pPr>
      <w:r w:rsidRPr="00122AA1">
        <w:rPr>
          <w:rFonts w:ascii="Arial" w:hAnsi="Arial" w:cs="Arial"/>
        </w:rPr>
        <w:t>permits the handling of health information for health and medical research purposes in certain circumstances, where researchers are unable to seek individuals</w:t>
      </w:r>
      <w:r w:rsidR="00161A53" w:rsidRPr="00122AA1">
        <w:rPr>
          <w:rFonts w:ascii="Arial" w:hAnsi="Arial" w:cs="Arial"/>
        </w:rPr>
        <w:t>’</w:t>
      </w:r>
      <w:r w:rsidRPr="00122AA1">
        <w:rPr>
          <w:rFonts w:ascii="Arial" w:hAnsi="Arial" w:cs="Arial"/>
        </w:rPr>
        <w:t xml:space="preserve"> consent</w:t>
      </w:r>
    </w:p>
    <w:p w:rsidR="00A202EA" w:rsidRPr="00122AA1" w:rsidRDefault="005114C5" w:rsidP="00A202EA">
      <w:pPr>
        <w:pStyle w:val="ListBullet"/>
        <w:spacing w:after="240"/>
        <w:rPr>
          <w:rFonts w:ascii="Arial" w:hAnsi="Arial" w:cs="Arial"/>
        </w:rPr>
      </w:pPr>
      <w:r w:rsidRPr="00122AA1">
        <w:rPr>
          <w:rFonts w:ascii="Arial" w:hAnsi="Arial" w:cs="Arial"/>
        </w:rPr>
        <w:t>allows organisations to have and to enforce their own privacy codes</w:t>
      </w:r>
      <w:r w:rsidR="00996E9D" w:rsidRPr="00122AA1">
        <w:rPr>
          <w:rFonts w:ascii="Arial" w:hAnsi="Arial" w:cs="Arial"/>
        </w:rPr>
        <w:t xml:space="preserve"> and </w:t>
      </w:r>
      <w:r w:rsidRPr="00122AA1">
        <w:rPr>
          <w:rFonts w:ascii="Arial" w:hAnsi="Arial" w:cs="Arial"/>
        </w:rPr>
        <w:t xml:space="preserve">permits small business operators, who would otherwise not be subject to the </w:t>
      </w:r>
      <w:r w:rsidR="00161A53" w:rsidRPr="00122AA1">
        <w:rPr>
          <w:rFonts w:ascii="Arial" w:hAnsi="Arial" w:cs="Arial"/>
        </w:rPr>
        <w:t xml:space="preserve">Privacy </w:t>
      </w:r>
      <w:r w:rsidR="00996E9D" w:rsidRPr="00122AA1">
        <w:rPr>
          <w:rFonts w:ascii="Arial" w:hAnsi="Arial" w:cs="Arial"/>
        </w:rPr>
        <w:t xml:space="preserve">Act, </w:t>
      </w:r>
      <w:r w:rsidRPr="00122AA1">
        <w:rPr>
          <w:rFonts w:ascii="Arial" w:hAnsi="Arial" w:cs="Arial"/>
        </w:rPr>
        <w:t>to opt</w:t>
      </w:r>
      <w:r w:rsidR="00161A53" w:rsidRPr="00122AA1">
        <w:rPr>
          <w:rFonts w:ascii="Arial" w:hAnsi="Arial" w:cs="Arial"/>
        </w:rPr>
        <w:t xml:space="preserve"> </w:t>
      </w:r>
      <w:r w:rsidRPr="00122AA1">
        <w:rPr>
          <w:rFonts w:ascii="Arial" w:hAnsi="Arial" w:cs="Arial"/>
        </w:rPr>
        <w:t>in to being covered</w:t>
      </w:r>
      <w:r w:rsidR="003D7B1D" w:rsidRPr="00122AA1">
        <w:rPr>
          <w:rFonts w:ascii="Arial" w:hAnsi="Arial" w:cs="Arial"/>
        </w:rPr>
        <w:t>.</w:t>
      </w:r>
      <w:r w:rsidR="003D7B1D" w:rsidRPr="00122AA1">
        <w:rPr>
          <w:rStyle w:val="FootnoteReference"/>
          <w:rFonts w:cs="Arial"/>
        </w:rPr>
        <w:footnoteReference w:id="33"/>
      </w:r>
      <w:r w:rsidRPr="00122AA1">
        <w:rPr>
          <w:rFonts w:ascii="Arial" w:hAnsi="Arial" w:cs="Arial"/>
        </w:rPr>
        <w:t xml:space="preserve"> </w:t>
      </w:r>
    </w:p>
    <w:p w:rsidR="0065418E" w:rsidRPr="00122AA1" w:rsidRDefault="0065418E" w:rsidP="0065418E">
      <w:pPr>
        <w:rPr>
          <w:rFonts w:ascii="Arial" w:hAnsi="Arial" w:cs="Arial"/>
        </w:rPr>
      </w:pPr>
      <w:r w:rsidRPr="00122AA1">
        <w:rPr>
          <w:rFonts w:ascii="Arial" w:hAnsi="Arial" w:cs="Arial"/>
        </w:rPr>
        <w:t>International frameworks</w:t>
      </w:r>
      <w:r w:rsidR="003C2AA9" w:rsidRPr="00122AA1">
        <w:rPr>
          <w:rFonts w:ascii="Arial" w:hAnsi="Arial" w:cs="Arial"/>
        </w:rPr>
        <w:t>,</w:t>
      </w:r>
      <w:r w:rsidRPr="00122AA1">
        <w:rPr>
          <w:rFonts w:ascii="Arial" w:hAnsi="Arial" w:cs="Arial"/>
        </w:rPr>
        <w:t xml:space="preserve"> such as the OECD Privacy Guidelines</w:t>
      </w:r>
      <w:r w:rsidR="003C2AA9" w:rsidRPr="00122AA1">
        <w:rPr>
          <w:rFonts w:ascii="Arial" w:hAnsi="Arial" w:cs="Arial"/>
        </w:rPr>
        <w:t>,</w:t>
      </w:r>
      <w:r w:rsidRPr="00122AA1">
        <w:rPr>
          <w:rFonts w:ascii="Arial" w:hAnsi="Arial" w:cs="Arial"/>
        </w:rPr>
        <w:t xml:space="preserve"> are also relevant as they provide the foundation for the development of national privacy laws in Australia</w:t>
      </w:r>
      <w:r w:rsidR="003C2AA9" w:rsidRPr="00122AA1">
        <w:rPr>
          <w:rFonts w:ascii="Arial" w:hAnsi="Arial" w:cs="Arial"/>
        </w:rPr>
        <w:t>,</w:t>
      </w:r>
      <w:r w:rsidRPr="00122AA1">
        <w:rPr>
          <w:rFonts w:ascii="Arial" w:hAnsi="Arial" w:cs="Arial"/>
        </w:rPr>
        <w:t xml:space="preserve"> as well as other nations. The </w:t>
      </w:r>
      <w:r w:rsidR="003C2AA9" w:rsidRPr="00122AA1">
        <w:rPr>
          <w:rFonts w:ascii="Arial" w:hAnsi="Arial" w:cs="Arial"/>
        </w:rPr>
        <w:t>g</w:t>
      </w:r>
      <w:r w:rsidRPr="00122AA1">
        <w:rPr>
          <w:rFonts w:ascii="Arial" w:hAnsi="Arial" w:cs="Arial"/>
        </w:rPr>
        <w:t>uidelines have been in place since 1980 and establish high</w:t>
      </w:r>
      <w:r w:rsidR="003C2AA9" w:rsidRPr="00122AA1">
        <w:rPr>
          <w:rFonts w:ascii="Arial" w:hAnsi="Arial" w:cs="Arial"/>
        </w:rPr>
        <w:t>-</w:t>
      </w:r>
      <w:r w:rsidRPr="00122AA1">
        <w:rPr>
          <w:rFonts w:ascii="Arial" w:hAnsi="Arial" w:cs="Arial"/>
        </w:rPr>
        <w:t>level principles for privacy protection</w:t>
      </w:r>
      <w:r w:rsidR="00FF7858" w:rsidRPr="00122AA1">
        <w:rPr>
          <w:rFonts w:ascii="Arial" w:hAnsi="Arial" w:cs="Arial"/>
        </w:rPr>
        <w:t>.</w:t>
      </w:r>
      <w:r w:rsidRPr="00122AA1">
        <w:rPr>
          <w:rFonts w:ascii="Arial" w:hAnsi="Arial" w:cs="Arial"/>
        </w:rPr>
        <w:t xml:space="preserve"> They also call for OECD member country cooperation through establishing procedures to facilitate mutual assistance in procedural and investigative matters.</w:t>
      </w:r>
      <w:r w:rsidRPr="00122AA1">
        <w:rPr>
          <w:rStyle w:val="FootnoteReference"/>
          <w:rFonts w:cs="Arial"/>
          <w:szCs w:val="20"/>
        </w:rPr>
        <w:footnoteReference w:id="34"/>
      </w:r>
      <w:r w:rsidRPr="00122AA1">
        <w:rPr>
          <w:rFonts w:ascii="Arial" w:hAnsi="Arial" w:cs="Arial"/>
        </w:rPr>
        <w:t xml:space="preserve"> A review of the </w:t>
      </w:r>
      <w:r w:rsidR="003C2AA9" w:rsidRPr="00122AA1">
        <w:rPr>
          <w:rFonts w:ascii="Arial" w:hAnsi="Arial" w:cs="Arial"/>
        </w:rPr>
        <w:t>g</w:t>
      </w:r>
      <w:r w:rsidRPr="00122AA1">
        <w:rPr>
          <w:rFonts w:ascii="Arial" w:hAnsi="Arial" w:cs="Arial"/>
        </w:rPr>
        <w:t>uidelines is underway</w:t>
      </w:r>
      <w:r w:rsidR="009B0B73" w:rsidRPr="00122AA1">
        <w:rPr>
          <w:rFonts w:ascii="Arial" w:hAnsi="Arial" w:cs="Arial"/>
        </w:rPr>
        <w:t>. This</w:t>
      </w:r>
      <w:r w:rsidRPr="00122AA1">
        <w:rPr>
          <w:rFonts w:ascii="Arial" w:hAnsi="Arial" w:cs="Arial"/>
        </w:rPr>
        <w:t xml:space="preserve"> includ</w:t>
      </w:r>
      <w:r w:rsidR="009B0B73" w:rsidRPr="00122AA1">
        <w:rPr>
          <w:rFonts w:ascii="Arial" w:hAnsi="Arial" w:cs="Arial"/>
        </w:rPr>
        <w:t>es</w:t>
      </w:r>
      <w:r w:rsidRPr="00122AA1">
        <w:rPr>
          <w:rFonts w:ascii="Arial" w:hAnsi="Arial" w:cs="Arial"/>
        </w:rPr>
        <w:t xml:space="preserve"> an examination of cooperation between privacy authorities and global interoperability of privacy frameworks as important elements for improving the effectiveness of privacy frameworks.</w:t>
      </w:r>
      <w:r w:rsidRPr="00122AA1">
        <w:rPr>
          <w:rStyle w:val="FootnoteReference"/>
          <w:rFonts w:cs="Arial"/>
          <w:szCs w:val="20"/>
        </w:rPr>
        <w:footnoteReference w:id="35"/>
      </w:r>
    </w:p>
    <w:p w:rsidR="0065418E" w:rsidRPr="00122AA1" w:rsidRDefault="0065418E" w:rsidP="001779E5">
      <w:pPr>
        <w:rPr>
          <w:rFonts w:ascii="Arial" w:hAnsi="Arial" w:cs="Arial"/>
        </w:rPr>
      </w:pPr>
    </w:p>
    <w:p w:rsidR="00423B17" w:rsidRPr="00122AA1" w:rsidRDefault="00423B17" w:rsidP="005368C0">
      <w:pPr>
        <w:pStyle w:val="Heading3"/>
        <w:rPr>
          <w:rFonts w:ascii="Arial" w:hAnsi="Arial"/>
        </w:rPr>
      </w:pPr>
      <w:bookmarkStart w:id="25" w:name="_Toc359338646"/>
      <w:bookmarkStart w:id="26" w:name="_Toc359574766"/>
      <w:r w:rsidRPr="00122AA1">
        <w:rPr>
          <w:rFonts w:ascii="Arial" w:hAnsi="Arial"/>
        </w:rPr>
        <w:t>Communications</w:t>
      </w:r>
      <w:r w:rsidR="00C5115E" w:rsidRPr="00122AA1">
        <w:rPr>
          <w:rFonts w:ascii="Arial" w:hAnsi="Arial"/>
        </w:rPr>
        <w:t>-</w:t>
      </w:r>
      <w:r w:rsidRPr="00122AA1">
        <w:rPr>
          <w:rFonts w:ascii="Arial" w:hAnsi="Arial"/>
        </w:rPr>
        <w:t xml:space="preserve">specific </w:t>
      </w:r>
      <w:r w:rsidR="00C5115E" w:rsidRPr="00122AA1">
        <w:rPr>
          <w:rFonts w:ascii="Arial" w:hAnsi="Arial"/>
        </w:rPr>
        <w:t>protections</w:t>
      </w:r>
      <w:bookmarkEnd w:id="25"/>
      <w:bookmarkEnd w:id="26"/>
    </w:p>
    <w:p w:rsidR="00331B4E" w:rsidRPr="00122AA1" w:rsidRDefault="00720A26">
      <w:pPr>
        <w:spacing w:after="80"/>
        <w:rPr>
          <w:rFonts w:ascii="Arial" w:hAnsi="Arial" w:cs="Arial"/>
        </w:rPr>
      </w:pPr>
      <w:r w:rsidRPr="00122AA1">
        <w:rPr>
          <w:rFonts w:ascii="Arial" w:hAnsi="Arial" w:cs="Arial"/>
        </w:rPr>
        <w:t>The regulatory frameworks for the previously distinct radiocommunications, telecommunications and broadcasting sectors each contain clear privacy objectives and measures</w:t>
      </w:r>
      <w:r w:rsidR="00BE0692" w:rsidRPr="00122AA1">
        <w:rPr>
          <w:rFonts w:ascii="Arial" w:hAnsi="Arial" w:cs="Arial"/>
        </w:rPr>
        <w:t xml:space="preserve">. </w:t>
      </w:r>
      <w:r w:rsidRPr="00122AA1">
        <w:rPr>
          <w:rFonts w:ascii="Arial" w:hAnsi="Arial" w:cs="Arial"/>
        </w:rPr>
        <w:t>The ACMA has observed common elements of communications and media privacy that provide insights to the framing of privacy protections</w:t>
      </w:r>
      <w:r w:rsidR="00380415" w:rsidRPr="00122AA1">
        <w:rPr>
          <w:rFonts w:ascii="Arial" w:hAnsi="Arial" w:cs="Arial"/>
        </w:rPr>
        <w:t xml:space="preserve"> (see Figure</w:t>
      </w:r>
      <w:r w:rsidR="001779E5" w:rsidRPr="00122AA1">
        <w:rPr>
          <w:rFonts w:ascii="Arial" w:hAnsi="Arial" w:cs="Arial"/>
        </w:rPr>
        <w:t> </w:t>
      </w:r>
      <w:r w:rsidR="00380415" w:rsidRPr="00122AA1">
        <w:rPr>
          <w:rFonts w:ascii="Arial" w:hAnsi="Arial" w:cs="Arial"/>
        </w:rPr>
        <w:t>10)</w:t>
      </w:r>
      <w:r w:rsidR="009B0B73" w:rsidRPr="00122AA1">
        <w:rPr>
          <w:rFonts w:ascii="Arial" w:hAnsi="Arial" w:cs="Arial"/>
        </w:rPr>
        <w:t>. These elements include:</w:t>
      </w:r>
    </w:p>
    <w:p w:rsidR="00720A26" w:rsidRPr="00122AA1" w:rsidRDefault="00720A26" w:rsidP="009B0B73">
      <w:pPr>
        <w:pStyle w:val="ListBullet"/>
        <w:rPr>
          <w:rFonts w:ascii="Arial" w:hAnsi="Arial" w:cs="Arial"/>
        </w:rPr>
      </w:pPr>
      <w:r w:rsidRPr="00122AA1">
        <w:rPr>
          <w:rFonts w:ascii="Arial" w:hAnsi="Arial" w:cs="Arial"/>
        </w:rPr>
        <w:t>identity—to protect a citizen’s or consumer’s personal or private information</w:t>
      </w:r>
    </w:p>
    <w:p w:rsidR="00720A26" w:rsidRPr="00122AA1" w:rsidRDefault="00720A26" w:rsidP="00720A26">
      <w:pPr>
        <w:pStyle w:val="ListBullet"/>
        <w:rPr>
          <w:rFonts w:ascii="Arial" w:hAnsi="Arial" w:cs="Arial"/>
        </w:rPr>
      </w:pPr>
      <w:r w:rsidRPr="00122AA1">
        <w:rPr>
          <w:rFonts w:ascii="Arial" w:hAnsi="Arial" w:cs="Arial"/>
        </w:rPr>
        <w:t>location activity—to protect information about an individual’s location, activities or movements</w:t>
      </w:r>
    </w:p>
    <w:p w:rsidR="00720A26" w:rsidRPr="00122AA1" w:rsidRDefault="00720A26" w:rsidP="00720A26">
      <w:pPr>
        <w:pStyle w:val="ListBullet"/>
        <w:rPr>
          <w:rFonts w:ascii="Arial" w:hAnsi="Arial" w:cs="Arial"/>
        </w:rPr>
      </w:pPr>
      <w:r w:rsidRPr="00122AA1">
        <w:rPr>
          <w:rFonts w:ascii="Arial" w:hAnsi="Arial" w:cs="Arial"/>
        </w:rPr>
        <w:t>intrusion—to protect a citizen or consumer’s personal space from unwanted intrusions</w:t>
      </w:r>
    </w:p>
    <w:p w:rsidR="00720A26" w:rsidRPr="00122AA1" w:rsidRDefault="00720A26" w:rsidP="00720A26">
      <w:pPr>
        <w:pStyle w:val="ListBullet"/>
        <w:rPr>
          <w:rFonts w:ascii="Arial" w:hAnsi="Arial" w:cs="Arial"/>
        </w:rPr>
      </w:pPr>
      <w:r w:rsidRPr="00122AA1">
        <w:rPr>
          <w:rFonts w:ascii="Arial" w:hAnsi="Arial" w:cs="Arial"/>
        </w:rPr>
        <w:t>reputation—to protect a citizen’s name or reputation</w:t>
      </w:r>
    </w:p>
    <w:p w:rsidR="00720A26" w:rsidRPr="00122AA1" w:rsidRDefault="00720A26" w:rsidP="001779E5">
      <w:pPr>
        <w:pStyle w:val="ListBullet"/>
        <w:spacing w:after="240"/>
        <w:rPr>
          <w:rFonts w:ascii="Arial" w:hAnsi="Arial" w:cs="Arial"/>
        </w:rPr>
      </w:pPr>
      <w:r w:rsidRPr="00122AA1">
        <w:rPr>
          <w:rFonts w:ascii="Arial" w:hAnsi="Arial" w:cs="Arial"/>
        </w:rPr>
        <w:t>financial—to protect a citizen or consumer’s financial or transactional information.</w:t>
      </w:r>
    </w:p>
    <w:tbl>
      <w:tblPr>
        <w:tblW w:w="9645" w:type="dxa"/>
        <w:tblLayout w:type="fixed"/>
        <w:tblCellMar>
          <w:left w:w="0" w:type="dxa"/>
          <w:right w:w="0" w:type="dxa"/>
        </w:tblCellMar>
        <w:tblLook w:val="01E0"/>
      </w:tblPr>
      <w:tblGrid>
        <w:gridCol w:w="9645"/>
      </w:tblGrid>
      <w:tr w:rsidR="001779E5" w:rsidRPr="00122AA1">
        <w:trPr>
          <w:trHeight w:val="570"/>
        </w:trPr>
        <w:tc>
          <w:tcPr>
            <w:tcW w:w="9645" w:type="dxa"/>
            <w:tcBorders>
              <w:top w:val="single" w:sz="2" w:space="0" w:color="505050"/>
            </w:tcBorders>
            <w:shd w:val="clear" w:color="auto" w:fill="auto"/>
            <w:vAlign w:val="center"/>
          </w:tcPr>
          <w:p w:rsidR="001779E5" w:rsidRPr="00122AA1" w:rsidRDefault="001779E5" w:rsidP="00B041E7">
            <w:pPr>
              <w:pStyle w:val="Caption"/>
              <w:keepNext/>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10</w:t>
            </w:r>
            <w:r w:rsidR="00302C7D" w:rsidRPr="00122AA1">
              <w:rPr>
                <w:rFonts w:ascii="Arial" w:hAnsi="Arial" w:cs="Arial"/>
              </w:rPr>
              <w:fldChar w:fldCharType="end"/>
            </w:r>
            <w:r w:rsidRPr="00122AA1">
              <w:rPr>
                <w:rFonts w:ascii="Arial" w:hAnsi="Arial" w:cs="Arial"/>
              </w:rPr>
              <w:t xml:space="preserve"> Communications and media privacy issues</w:t>
            </w:r>
          </w:p>
        </w:tc>
      </w:tr>
      <w:tr w:rsidR="001779E5" w:rsidRPr="00122AA1">
        <w:trPr>
          <w:trHeight w:val="3086"/>
        </w:trPr>
        <w:tc>
          <w:tcPr>
            <w:tcW w:w="9645" w:type="dxa"/>
            <w:shd w:val="clear" w:color="auto" w:fill="auto"/>
            <w:tcMar>
              <w:left w:w="28" w:type="dxa"/>
            </w:tcMar>
          </w:tcPr>
          <w:p w:rsidR="001779E5" w:rsidRPr="00122AA1" w:rsidRDefault="001779E5">
            <w:pPr>
              <w:rPr>
                <w:rFonts w:ascii="Arial" w:hAnsi="Arial" w:cs="Arial"/>
              </w:rPr>
            </w:pPr>
            <w:r w:rsidRPr="00122AA1">
              <w:rPr>
                <w:rFonts w:ascii="Arial" w:hAnsi="Arial" w:cs="Arial"/>
                <w:noProof/>
              </w:rPr>
              <w:drawing>
                <wp:inline distT="0" distB="0" distL="0" distR="0">
                  <wp:extent cx="5876925" cy="3962400"/>
                  <wp:effectExtent l="19050" t="0" r="9525" b="0"/>
                  <wp:docPr id="18" name="Picture 0" descr="Visio-Privacy Mud Map - ACMA Statuatory Roles and Issues in A4 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Privacy Mud Map - ACMA Statuatory Roles and Issues in A4 LC.jpg"/>
                          <pic:cNvPicPr/>
                        </pic:nvPicPr>
                        <pic:blipFill>
                          <a:blip r:embed="rId32" cstate="print"/>
                          <a:srcRect l="2496" t="4194" r="1269" b="3974"/>
                          <a:stretch>
                            <a:fillRect/>
                          </a:stretch>
                        </pic:blipFill>
                        <pic:spPr>
                          <a:xfrm>
                            <a:off x="0" y="0"/>
                            <a:ext cx="5876925" cy="3962400"/>
                          </a:xfrm>
                          <a:prstGeom prst="rect">
                            <a:avLst/>
                          </a:prstGeom>
                        </pic:spPr>
                      </pic:pic>
                    </a:graphicData>
                  </a:graphic>
                </wp:inline>
              </w:drawing>
            </w:r>
          </w:p>
        </w:tc>
      </w:tr>
      <w:tr w:rsidR="001779E5" w:rsidRPr="00122AA1">
        <w:trPr>
          <w:trHeight w:val="291"/>
        </w:trPr>
        <w:tc>
          <w:tcPr>
            <w:tcW w:w="9645" w:type="dxa"/>
            <w:tcBorders>
              <w:bottom w:val="single" w:sz="2" w:space="0" w:color="505050"/>
            </w:tcBorders>
            <w:shd w:val="clear" w:color="auto" w:fill="auto"/>
          </w:tcPr>
          <w:p w:rsidR="001779E5" w:rsidRPr="00122AA1" w:rsidRDefault="001779E5">
            <w:pPr>
              <w:rPr>
                <w:rFonts w:ascii="Arial" w:hAnsi="Arial" w:cs="Arial"/>
              </w:rPr>
            </w:pPr>
          </w:p>
        </w:tc>
      </w:tr>
    </w:tbl>
    <w:p w:rsidR="00720A26" w:rsidRPr="00122AA1" w:rsidRDefault="005368C0" w:rsidP="00122AA1">
      <w:pPr>
        <w:pStyle w:val="Heading3"/>
        <w:pageBreakBefore/>
        <w:rPr>
          <w:rFonts w:ascii="Arial" w:hAnsi="Arial"/>
        </w:rPr>
      </w:pPr>
      <w:bookmarkStart w:id="27" w:name="_Toc359338647"/>
      <w:bookmarkStart w:id="28" w:name="_Toc359574767"/>
      <w:r w:rsidRPr="00122AA1">
        <w:rPr>
          <w:rFonts w:ascii="Arial" w:hAnsi="Arial"/>
        </w:rPr>
        <w:t>Identity of communications customers</w:t>
      </w:r>
      <w:bookmarkEnd w:id="27"/>
      <w:bookmarkEnd w:id="28"/>
    </w:p>
    <w:p w:rsidR="00720A26" w:rsidRPr="00122AA1" w:rsidRDefault="009B0B73" w:rsidP="00720A26">
      <w:pPr>
        <w:rPr>
          <w:rFonts w:ascii="Arial" w:hAnsi="Arial" w:cs="Arial"/>
        </w:rPr>
      </w:pPr>
      <w:r w:rsidRPr="00122AA1">
        <w:rPr>
          <w:rFonts w:ascii="Arial" w:hAnsi="Arial" w:cs="Arial"/>
        </w:rPr>
        <w:t xml:space="preserve">Part 13 of the </w:t>
      </w:r>
      <w:r w:rsidRPr="00122AA1">
        <w:rPr>
          <w:rFonts w:ascii="Arial" w:hAnsi="Arial" w:cs="Arial"/>
          <w:i/>
        </w:rPr>
        <w:t xml:space="preserve">Telecommunications Act 1997 </w:t>
      </w:r>
      <w:r w:rsidRPr="00122AA1">
        <w:rPr>
          <w:rFonts w:ascii="Arial" w:hAnsi="Arial" w:cs="Arial"/>
        </w:rPr>
        <w:t xml:space="preserve">(the Telecommunications Act) </w:t>
      </w:r>
      <w:r w:rsidR="00720A26" w:rsidRPr="00122AA1">
        <w:rPr>
          <w:rFonts w:ascii="Arial" w:hAnsi="Arial" w:cs="Arial"/>
        </w:rPr>
        <w:t>recogni</w:t>
      </w:r>
      <w:r w:rsidRPr="00122AA1">
        <w:rPr>
          <w:rFonts w:ascii="Arial" w:hAnsi="Arial" w:cs="Arial"/>
        </w:rPr>
        <w:t>ses</w:t>
      </w:r>
      <w:r w:rsidR="00720A26" w:rsidRPr="00122AA1">
        <w:rPr>
          <w:rFonts w:ascii="Arial" w:hAnsi="Arial" w:cs="Arial"/>
        </w:rPr>
        <w:t xml:space="preserve"> the privacy expectations that are intrinsic to citizens’ use of telecommunications services</w:t>
      </w:r>
      <w:r w:rsidRPr="00122AA1">
        <w:rPr>
          <w:rFonts w:ascii="Arial" w:hAnsi="Arial" w:cs="Arial"/>
        </w:rPr>
        <w:t xml:space="preserve">. It </w:t>
      </w:r>
      <w:r w:rsidR="00720A26" w:rsidRPr="00122AA1">
        <w:rPr>
          <w:rFonts w:ascii="Arial" w:hAnsi="Arial" w:cs="Arial"/>
        </w:rPr>
        <w:t>establishes a regulatory framework to protect the confidentiality of information that relates to carriage services and the content of communications carried on them. These measures also protect information about carriag</w:t>
      </w:r>
      <w:r w:rsidR="00BE0692" w:rsidRPr="00122AA1">
        <w:rPr>
          <w:rFonts w:ascii="Arial" w:hAnsi="Arial" w:cs="Arial"/>
        </w:rPr>
        <w:t>e service providers’ customers.</w:t>
      </w:r>
      <w:r w:rsidR="00720A26" w:rsidRPr="00122AA1">
        <w:rPr>
          <w:rFonts w:ascii="Arial" w:hAnsi="Arial" w:cs="Arial"/>
        </w:rPr>
        <w:t xml:space="preserve"> </w:t>
      </w:r>
    </w:p>
    <w:p w:rsidR="00720A26" w:rsidRPr="00122AA1" w:rsidRDefault="00720A26" w:rsidP="00720A26">
      <w:pPr>
        <w:rPr>
          <w:rFonts w:ascii="Arial" w:hAnsi="Arial" w:cs="Arial"/>
        </w:rPr>
      </w:pPr>
    </w:p>
    <w:p w:rsidR="00720A26" w:rsidRPr="00122AA1" w:rsidRDefault="00720A26" w:rsidP="00720A26">
      <w:pPr>
        <w:rPr>
          <w:rFonts w:ascii="Arial" w:hAnsi="Arial" w:cs="Arial"/>
        </w:rPr>
      </w:pPr>
      <w:r w:rsidRPr="00122AA1">
        <w:rPr>
          <w:rFonts w:ascii="Arial" w:hAnsi="Arial" w:cs="Arial"/>
        </w:rPr>
        <w:t>Information protected by these measures may be disclosed only in limited circumstances, which include maintenance of the Integrated Public Number Database (IPND) and law enforcement and national security. Accurate records of disclosure must be kept. The priority placed on protecting the confidentiality of citizens’ communications is reflected in the penalty of imprisonment that applies to breaches of these requirements.</w:t>
      </w:r>
    </w:p>
    <w:p w:rsidR="00720A26" w:rsidRPr="00122AA1" w:rsidRDefault="00720A26" w:rsidP="00720A26">
      <w:pPr>
        <w:rPr>
          <w:rFonts w:ascii="Arial" w:hAnsi="Arial" w:cs="Arial"/>
        </w:rPr>
      </w:pPr>
    </w:p>
    <w:p w:rsidR="00720A26" w:rsidRPr="00122AA1" w:rsidRDefault="00720A26" w:rsidP="00720A26">
      <w:pPr>
        <w:rPr>
          <w:rFonts w:ascii="Arial" w:hAnsi="Arial" w:cs="Arial"/>
        </w:rPr>
      </w:pPr>
      <w:r w:rsidRPr="00122AA1">
        <w:rPr>
          <w:rFonts w:ascii="Arial" w:hAnsi="Arial" w:cs="Arial"/>
        </w:rPr>
        <w:t>In addition, the Telecommunications Consumer Protections Code and Mobile Premium Services Industry Code, registered by the ACMA under Part 6 of the Telecommunications Act, require carriage service providers to protect their customers’ personal information from unauthorised use or disclosure</w:t>
      </w:r>
      <w:r w:rsidR="009B0B73" w:rsidRPr="00122AA1">
        <w:rPr>
          <w:rFonts w:ascii="Arial" w:hAnsi="Arial" w:cs="Arial"/>
        </w:rPr>
        <w:t>,</w:t>
      </w:r>
      <w:r w:rsidRPr="00122AA1">
        <w:rPr>
          <w:rFonts w:ascii="Arial" w:hAnsi="Arial" w:cs="Arial"/>
        </w:rPr>
        <w:t xml:space="preserve"> and content suppliers to protect the privacy of complainants’ personal information. </w:t>
      </w:r>
    </w:p>
    <w:p w:rsidR="005368C0" w:rsidRPr="00122AA1" w:rsidRDefault="005368C0" w:rsidP="00720A26">
      <w:pPr>
        <w:rPr>
          <w:rFonts w:ascii="Arial" w:hAnsi="Arial" w:cs="Arial"/>
        </w:rPr>
      </w:pPr>
    </w:p>
    <w:p w:rsidR="00720A26" w:rsidRPr="00122AA1" w:rsidRDefault="00720A26" w:rsidP="00720A26">
      <w:pPr>
        <w:pStyle w:val="Heading3"/>
        <w:rPr>
          <w:rFonts w:ascii="Arial" w:hAnsi="Arial"/>
        </w:rPr>
      </w:pPr>
      <w:bookmarkStart w:id="29" w:name="_Toc359338648"/>
      <w:bookmarkStart w:id="30" w:name="_Toc359574768"/>
      <w:r w:rsidRPr="00122AA1">
        <w:rPr>
          <w:rFonts w:ascii="Arial" w:hAnsi="Arial"/>
        </w:rPr>
        <w:t>Location activity information</w:t>
      </w:r>
      <w:bookmarkEnd w:id="29"/>
      <w:bookmarkEnd w:id="30"/>
    </w:p>
    <w:p w:rsidR="00720A26" w:rsidRPr="00122AA1" w:rsidRDefault="00720A26" w:rsidP="00720A26">
      <w:pPr>
        <w:rPr>
          <w:rFonts w:ascii="Arial" w:hAnsi="Arial" w:cs="Arial"/>
        </w:rPr>
      </w:pPr>
      <w:r w:rsidRPr="00122AA1">
        <w:rPr>
          <w:rFonts w:ascii="Arial" w:hAnsi="Arial" w:cs="Arial"/>
        </w:rPr>
        <w:t xml:space="preserve">Information about citizens’ locations and activities is collected and used in a variety of contexts. Internet service providers may collect and temporarily store information about their customers’ online actions in the course of providing access to internet content. Carriers and carriage service providers also collect and store data about their customers’ calling and messaging activities for billing and other purposes. </w:t>
      </w:r>
    </w:p>
    <w:p w:rsidR="00720A26" w:rsidRPr="00122AA1" w:rsidRDefault="00720A26" w:rsidP="00720A26">
      <w:pPr>
        <w:rPr>
          <w:rFonts w:ascii="Arial" w:hAnsi="Arial" w:cs="Arial"/>
        </w:rPr>
      </w:pPr>
      <w:r w:rsidRPr="00122AA1">
        <w:rPr>
          <w:rFonts w:ascii="Arial" w:hAnsi="Arial" w:cs="Arial"/>
        </w:rPr>
        <w:t xml:space="preserve"> </w:t>
      </w:r>
    </w:p>
    <w:p w:rsidR="00720A26" w:rsidRPr="00122AA1" w:rsidRDefault="00720A26" w:rsidP="00720A26">
      <w:pPr>
        <w:rPr>
          <w:rFonts w:ascii="Arial" w:hAnsi="Arial" w:cs="Arial"/>
        </w:rPr>
      </w:pPr>
      <w:r w:rsidRPr="00122AA1">
        <w:rPr>
          <w:rFonts w:ascii="Arial" w:hAnsi="Arial" w:cs="Arial"/>
        </w:rPr>
        <w:t>Part 13 of the Telecommunications Act</w:t>
      </w:r>
      <w:r w:rsidRPr="00122AA1">
        <w:rPr>
          <w:rFonts w:ascii="Arial" w:hAnsi="Arial" w:cs="Arial"/>
          <w:i/>
        </w:rPr>
        <w:t xml:space="preserve"> </w:t>
      </w:r>
      <w:r w:rsidRPr="00122AA1">
        <w:rPr>
          <w:rFonts w:ascii="Arial" w:hAnsi="Arial" w:cs="Arial"/>
        </w:rPr>
        <w:t xml:space="preserve">establishes protections for information concerning carriage service providers’ customers. Safeguards for the protection of information associated with consumers’ identities and accounts are also provided in codes of practice for carriage service providers and content service providers. </w:t>
      </w:r>
    </w:p>
    <w:p w:rsidR="00720A26" w:rsidRPr="00122AA1" w:rsidRDefault="00720A26" w:rsidP="00720A26">
      <w:pPr>
        <w:rPr>
          <w:rFonts w:ascii="Arial" w:hAnsi="Arial" w:cs="Arial"/>
        </w:rPr>
      </w:pPr>
    </w:p>
    <w:p w:rsidR="00720A26" w:rsidRPr="00122AA1" w:rsidRDefault="00720A26" w:rsidP="00720A26">
      <w:pPr>
        <w:rPr>
          <w:rFonts w:ascii="Arial" w:hAnsi="Arial" w:cs="Arial"/>
        </w:rPr>
      </w:pPr>
      <w:r w:rsidRPr="00122AA1">
        <w:rPr>
          <w:rFonts w:ascii="Arial" w:hAnsi="Arial" w:cs="Arial"/>
        </w:rPr>
        <w:t>A related aspect of telecommunications personal information is the use of this information to identify an individual’s location</w:t>
      </w:r>
      <w:r w:rsidR="009B0B73" w:rsidRPr="00122AA1">
        <w:rPr>
          <w:rFonts w:ascii="Arial" w:hAnsi="Arial" w:cs="Arial"/>
        </w:rPr>
        <w:t xml:space="preserve">. This </w:t>
      </w:r>
      <w:r w:rsidRPr="00122AA1">
        <w:rPr>
          <w:rFonts w:ascii="Arial" w:hAnsi="Arial" w:cs="Arial"/>
        </w:rPr>
        <w:t>support</w:t>
      </w:r>
      <w:r w:rsidR="009B0B73" w:rsidRPr="00122AA1">
        <w:rPr>
          <w:rFonts w:ascii="Arial" w:hAnsi="Arial" w:cs="Arial"/>
        </w:rPr>
        <w:t>s</w:t>
      </w:r>
      <w:r w:rsidRPr="00122AA1">
        <w:rPr>
          <w:rFonts w:ascii="Arial" w:hAnsi="Arial" w:cs="Arial"/>
        </w:rPr>
        <w:t xml:space="preserve"> emergency services and activities that provide information for law enforcement and national security. </w:t>
      </w:r>
    </w:p>
    <w:p w:rsidR="00720A26" w:rsidRPr="00122AA1" w:rsidRDefault="00720A26" w:rsidP="00720A26">
      <w:pPr>
        <w:rPr>
          <w:rFonts w:ascii="Arial" w:hAnsi="Arial" w:cs="Arial"/>
        </w:rPr>
      </w:pPr>
    </w:p>
    <w:p w:rsidR="00720A26" w:rsidRPr="00122AA1" w:rsidRDefault="00720A26" w:rsidP="00720A26">
      <w:pPr>
        <w:rPr>
          <w:rFonts w:ascii="Arial" w:hAnsi="Arial" w:cs="Arial"/>
        </w:rPr>
      </w:pPr>
      <w:r w:rsidRPr="00122AA1">
        <w:rPr>
          <w:rFonts w:ascii="Arial" w:hAnsi="Arial" w:cs="Arial"/>
        </w:rPr>
        <w:t xml:space="preserve">Obligations to provide communications-related location and personal information—including location information—to emergency service organisations are established under Part 8 provisions of the </w:t>
      </w:r>
      <w:r w:rsidRPr="00122AA1">
        <w:rPr>
          <w:rFonts w:ascii="Arial" w:hAnsi="Arial" w:cs="Arial"/>
          <w:i/>
        </w:rPr>
        <w:t>Telecommunications (Consumer Protection and Service Standards) Act 1997</w:t>
      </w:r>
      <w:r w:rsidR="009B0B73" w:rsidRPr="00122AA1">
        <w:rPr>
          <w:rFonts w:ascii="Arial" w:hAnsi="Arial" w:cs="Arial"/>
          <w:i/>
        </w:rPr>
        <w:t>.</w:t>
      </w:r>
      <w:r w:rsidRPr="00122AA1">
        <w:rPr>
          <w:rFonts w:ascii="Arial" w:hAnsi="Arial" w:cs="Arial"/>
          <w:i/>
        </w:rPr>
        <w:t xml:space="preserve"> </w:t>
      </w:r>
      <w:r w:rsidR="009B0B73" w:rsidRPr="00122AA1">
        <w:rPr>
          <w:rFonts w:ascii="Arial" w:hAnsi="Arial" w:cs="Arial"/>
        </w:rPr>
        <w:t>F</w:t>
      </w:r>
      <w:r w:rsidRPr="00122AA1">
        <w:rPr>
          <w:rFonts w:ascii="Arial" w:hAnsi="Arial" w:cs="Arial"/>
        </w:rPr>
        <w:t xml:space="preserve">urther details are specified in the ACMA’s Telecommunications (Emergency Call Service) Determination 2009. </w:t>
      </w:r>
    </w:p>
    <w:p w:rsidR="00720A26" w:rsidRPr="00122AA1" w:rsidRDefault="00720A26" w:rsidP="00720A26">
      <w:pPr>
        <w:rPr>
          <w:rFonts w:ascii="Arial" w:hAnsi="Arial" w:cs="Arial"/>
        </w:rPr>
      </w:pPr>
    </w:p>
    <w:p w:rsidR="00720A26" w:rsidRPr="00122AA1" w:rsidRDefault="005368C0" w:rsidP="00720A26">
      <w:pPr>
        <w:pStyle w:val="Heading3"/>
        <w:rPr>
          <w:rFonts w:ascii="Arial" w:hAnsi="Arial"/>
        </w:rPr>
      </w:pPr>
      <w:bookmarkStart w:id="31" w:name="_Toc359338649"/>
      <w:bookmarkStart w:id="32" w:name="_Toc359574769"/>
      <w:r w:rsidRPr="00122AA1">
        <w:rPr>
          <w:rFonts w:ascii="Arial" w:hAnsi="Arial"/>
        </w:rPr>
        <w:t xml:space="preserve">Protections against </w:t>
      </w:r>
      <w:r w:rsidR="00720A26" w:rsidRPr="00122AA1">
        <w:rPr>
          <w:rFonts w:ascii="Arial" w:hAnsi="Arial"/>
        </w:rPr>
        <w:t>electronic intrusions</w:t>
      </w:r>
      <w:bookmarkEnd w:id="31"/>
      <w:bookmarkEnd w:id="32"/>
    </w:p>
    <w:p w:rsidR="00720A26" w:rsidRPr="00122AA1" w:rsidRDefault="00720A26" w:rsidP="00720A26">
      <w:pPr>
        <w:rPr>
          <w:rFonts w:ascii="Arial" w:hAnsi="Arial" w:cs="Arial"/>
          <w:szCs w:val="20"/>
        </w:rPr>
      </w:pPr>
      <w:r w:rsidRPr="00122AA1">
        <w:rPr>
          <w:rFonts w:ascii="Arial" w:hAnsi="Arial" w:cs="Arial"/>
        </w:rPr>
        <w:t xml:space="preserve">Concerns about intrusion arise </w:t>
      </w:r>
      <w:r w:rsidR="009B0B73" w:rsidRPr="00122AA1">
        <w:rPr>
          <w:rFonts w:ascii="Arial" w:hAnsi="Arial" w:cs="Arial"/>
        </w:rPr>
        <w:t>from</w:t>
      </w:r>
      <w:r w:rsidRPr="00122AA1">
        <w:rPr>
          <w:rFonts w:ascii="Arial" w:hAnsi="Arial" w:cs="Arial"/>
        </w:rPr>
        <w:t xml:space="preserve"> electronic media coverage of citizens’ personal and private affairs. Registered codes of practice for each sector of the broadcasting industry include requirements aimed at protecting the privacy of individuals in the making and </w:t>
      </w:r>
      <w:r w:rsidR="009B0B73" w:rsidRPr="00122AA1">
        <w:rPr>
          <w:rFonts w:ascii="Arial" w:hAnsi="Arial" w:cs="Arial"/>
        </w:rPr>
        <w:t>delivering</w:t>
      </w:r>
      <w:r w:rsidRPr="00122AA1">
        <w:rPr>
          <w:rFonts w:ascii="Arial" w:hAnsi="Arial" w:cs="Arial"/>
        </w:rPr>
        <w:t xml:space="preserve"> programs. These codes are supplemented by the ACMA’s </w:t>
      </w:r>
      <w:r w:rsidRPr="00122AA1">
        <w:rPr>
          <w:rFonts w:ascii="Arial" w:hAnsi="Arial" w:cs="Arial"/>
          <w:i/>
        </w:rPr>
        <w:t>Privacy Guidelines for Broadcasters 2011</w:t>
      </w:r>
      <w:r w:rsidRPr="00122AA1">
        <w:rPr>
          <w:rFonts w:ascii="Arial" w:hAnsi="Arial" w:cs="Arial"/>
        </w:rPr>
        <w:t xml:space="preserve">, recently updated to take account of changes in community attitudes </w:t>
      </w:r>
      <w:r w:rsidR="009B0B73" w:rsidRPr="00122AA1">
        <w:rPr>
          <w:rFonts w:ascii="Arial" w:hAnsi="Arial" w:cs="Arial"/>
        </w:rPr>
        <w:t xml:space="preserve">to </w:t>
      </w:r>
      <w:r w:rsidRPr="00122AA1">
        <w:rPr>
          <w:rFonts w:ascii="Arial" w:hAnsi="Arial" w:cs="Arial"/>
        </w:rPr>
        <w:t xml:space="preserve">media coverage of private matters. </w:t>
      </w:r>
    </w:p>
    <w:p w:rsidR="00720A26" w:rsidRPr="00122AA1" w:rsidRDefault="00720A26" w:rsidP="00720A26">
      <w:pPr>
        <w:rPr>
          <w:rFonts w:ascii="Arial" w:hAnsi="Arial" w:cs="Arial"/>
          <w:szCs w:val="20"/>
        </w:rPr>
      </w:pPr>
    </w:p>
    <w:p w:rsidR="00720A26" w:rsidRPr="00122AA1" w:rsidRDefault="00720A26" w:rsidP="00720A26">
      <w:pPr>
        <w:rPr>
          <w:rFonts w:ascii="Arial" w:hAnsi="Arial" w:cs="Arial"/>
        </w:rPr>
      </w:pPr>
      <w:r w:rsidRPr="00122AA1">
        <w:rPr>
          <w:rFonts w:ascii="Arial" w:hAnsi="Arial" w:cs="Arial"/>
        </w:rPr>
        <w:t>Successive advances in information and communications technology have given rise to other perceived intrusions on privacy through unwanted telemarketing calls and unsolicited email and messages (spam)</w:t>
      </w:r>
      <w:r w:rsidR="009B0B73" w:rsidRPr="00122AA1">
        <w:rPr>
          <w:rFonts w:ascii="Arial" w:hAnsi="Arial" w:cs="Arial"/>
        </w:rPr>
        <w:t>. M</w:t>
      </w:r>
      <w:r w:rsidRPr="00122AA1">
        <w:rPr>
          <w:rFonts w:ascii="Arial" w:hAnsi="Arial" w:cs="Arial"/>
        </w:rPr>
        <w:t xml:space="preserve">ost are either commercial or involve some type of financial scam. Governments have enacted a range of measures </w:t>
      </w:r>
      <w:r w:rsidR="009B0B73" w:rsidRPr="00122AA1">
        <w:rPr>
          <w:rFonts w:ascii="Arial" w:hAnsi="Arial" w:cs="Arial"/>
        </w:rPr>
        <w:t>to</w:t>
      </w:r>
      <w:r w:rsidRPr="00122AA1">
        <w:rPr>
          <w:rFonts w:ascii="Arial" w:hAnsi="Arial" w:cs="Arial"/>
        </w:rPr>
        <w:t xml:space="preserve"> deal with these concerns. In Australia, the ACMA administers anti-spam and do-not-call schemes that protect Australians from unsolicited commercial email, messages and telephone calls.</w:t>
      </w:r>
    </w:p>
    <w:p w:rsidR="00720A26" w:rsidRPr="00122AA1" w:rsidRDefault="00720A26" w:rsidP="00720A26">
      <w:pPr>
        <w:rPr>
          <w:rFonts w:ascii="Arial" w:hAnsi="Arial" w:cs="Arial"/>
        </w:rPr>
      </w:pPr>
    </w:p>
    <w:p w:rsidR="00720A26" w:rsidRPr="00122AA1" w:rsidRDefault="00720A26" w:rsidP="001779E5">
      <w:pPr>
        <w:rPr>
          <w:rFonts w:ascii="Arial" w:hAnsi="Arial" w:cs="Arial"/>
        </w:rPr>
      </w:pPr>
      <w:r w:rsidRPr="00122AA1">
        <w:rPr>
          <w:rFonts w:ascii="Arial" w:hAnsi="Arial" w:cs="Arial"/>
        </w:rPr>
        <w:t xml:space="preserve">The </w:t>
      </w:r>
      <w:r w:rsidRPr="00122AA1">
        <w:rPr>
          <w:rFonts w:ascii="Arial" w:hAnsi="Arial" w:cs="Arial"/>
          <w:i/>
        </w:rPr>
        <w:t xml:space="preserve">Do Not Call Register Act 2006 </w:t>
      </w:r>
      <w:r w:rsidRPr="00122AA1">
        <w:rPr>
          <w:rFonts w:ascii="Arial" w:hAnsi="Arial" w:cs="Arial"/>
        </w:rPr>
        <w:t>responds to the community concern about unwanted intrusions through telemarketing calls and marketing faxes. The scheme requires businesses who intend to make telemarketing calls and faxes to check numbers against the ACMA’s Do Not Call Register. The ACMA is responsible for ensuring that telemarketers and fax marketers (collectively referred to as marketers) comply with these rules. There are now over eight million telephone and fax numbers on the register</w:t>
      </w:r>
      <w:r w:rsidR="009B0B73" w:rsidRPr="00122AA1">
        <w:rPr>
          <w:rFonts w:ascii="Arial" w:hAnsi="Arial" w:cs="Arial"/>
        </w:rPr>
        <w:t xml:space="preserve">. This </w:t>
      </w:r>
      <w:r w:rsidRPr="00122AA1">
        <w:rPr>
          <w:rFonts w:ascii="Arial" w:hAnsi="Arial" w:cs="Arial"/>
        </w:rPr>
        <w:t>substantial</w:t>
      </w:r>
      <w:r w:rsidR="009B0B73" w:rsidRPr="00122AA1">
        <w:rPr>
          <w:rFonts w:ascii="Arial" w:hAnsi="Arial" w:cs="Arial"/>
        </w:rPr>
        <w:t>ly</w:t>
      </w:r>
      <w:r w:rsidRPr="00122AA1">
        <w:rPr>
          <w:rFonts w:ascii="Arial" w:hAnsi="Arial" w:cs="Arial"/>
        </w:rPr>
        <w:t xml:space="preserve"> enhance</w:t>
      </w:r>
      <w:r w:rsidR="009B0B73" w:rsidRPr="00122AA1">
        <w:rPr>
          <w:rFonts w:ascii="Arial" w:hAnsi="Arial" w:cs="Arial"/>
        </w:rPr>
        <w:t>s</w:t>
      </w:r>
      <w:r w:rsidRPr="00122AA1">
        <w:rPr>
          <w:rFonts w:ascii="Arial" w:hAnsi="Arial" w:cs="Arial"/>
        </w:rPr>
        <w:t xml:space="preserve"> the privacy of citizens who would otherwise be the target of unwanted telemarketing calls.</w:t>
      </w:r>
    </w:p>
    <w:p w:rsidR="00720A26" w:rsidRPr="00122AA1" w:rsidRDefault="00720A26" w:rsidP="001779E5">
      <w:pPr>
        <w:rPr>
          <w:rFonts w:ascii="Arial" w:hAnsi="Arial" w:cs="Arial"/>
        </w:rPr>
      </w:pPr>
    </w:p>
    <w:p w:rsidR="00720A26" w:rsidRPr="00122AA1" w:rsidRDefault="00720A26" w:rsidP="00720A26">
      <w:pPr>
        <w:rPr>
          <w:rFonts w:ascii="Arial" w:hAnsi="Arial" w:cs="Arial"/>
        </w:rPr>
      </w:pPr>
      <w:r w:rsidRPr="00122AA1">
        <w:rPr>
          <w:rFonts w:ascii="Arial" w:hAnsi="Arial" w:cs="Arial"/>
        </w:rPr>
        <w:t xml:space="preserve">The </w:t>
      </w:r>
      <w:r w:rsidRPr="00122AA1">
        <w:rPr>
          <w:rFonts w:ascii="Arial" w:hAnsi="Arial" w:cs="Arial"/>
          <w:i/>
        </w:rPr>
        <w:t>Spam Act 2003</w:t>
      </w:r>
      <w:r w:rsidRPr="00122AA1">
        <w:rPr>
          <w:rFonts w:ascii="Arial" w:hAnsi="Arial" w:cs="Arial"/>
        </w:rPr>
        <w:t xml:space="preserve"> (the Spam Act) establishes an opt-in regime for the distribution of commercial electronic messages. </w:t>
      </w:r>
      <w:r w:rsidR="009B0B73" w:rsidRPr="00122AA1">
        <w:rPr>
          <w:rFonts w:ascii="Arial" w:hAnsi="Arial" w:cs="Arial"/>
        </w:rPr>
        <w:t>The safeguards in the Spam Act were d</w:t>
      </w:r>
      <w:r w:rsidRPr="00122AA1">
        <w:rPr>
          <w:rFonts w:ascii="Arial" w:hAnsi="Arial" w:cs="Arial"/>
        </w:rPr>
        <w:t>eveloped to address the specific intrusive characteristics of electronic messaging as a low-cost, high-volume communications medium</w:t>
      </w:r>
      <w:r w:rsidR="009B0B73" w:rsidRPr="00122AA1">
        <w:rPr>
          <w:rFonts w:ascii="Arial" w:hAnsi="Arial" w:cs="Arial"/>
        </w:rPr>
        <w:t>. They</w:t>
      </w:r>
      <w:r w:rsidRPr="00122AA1">
        <w:rPr>
          <w:rFonts w:ascii="Arial" w:hAnsi="Arial" w:cs="Arial"/>
        </w:rPr>
        <w:t xml:space="preserve"> complement the opt-out arrangements that apply to other media under the National Privacy Principles. </w:t>
      </w:r>
    </w:p>
    <w:p w:rsidR="00720A26" w:rsidRPr="00122AA1" w:rsidRDefault="00720A26" w:rsidP="00720A26">
      <w:pPr>
        <w:rPr>
          <w:rFonts w:ascii="Arial" w:hAnsi="Arial" w:cs="Arial"/>
        </w:rPr>
      </w:pPr>
    </w:p>
    <w:p w:rsidR="00720A26" w:rsidRPr="00122AA1" w:rsidRDefault="00720A26" w:rsidP="00720A26">
      <w:pPr>
        <w:pStyle w:val="Heading3"/>
        <w:rPr>
          <w:rFonts w:ascii="Arial" w:hAnsi="Arial"/>
        </w:rPr>
      </w:pPr>
      <w:bookmarkStart w:id="33" w:name="_Toc359338650"/>
      <w:bookmarkStart w:id="34" w:name="_Toc359574770"/>
      <w:r w:rsidRPr="00122AA1">
        <w:rPr>
          <w:rFonts w:ascii="Arial" w:hAnsi="Arial"/>
        </w:rPr>
        <w:t>Reputation</w:t>
      </w:r>
      <w:bookmarkEnd w:id="33"/>
      <w:bookmarkEnd w:id="34"/>
    </w:p>
    <w:p w:rsidR="00720A26" w:rsidRPr="00122AA1" w:rsidRDefault="00720A26" w:rsidP="00720A26">
      <w:pPr>
        <w:rPr>
          <w:rFonts w:ascii="Arial" w:hAnsi="Arial" w:cs="Arial"/>
        </w:rPr>
      </w:pPr>
      <w:r w:rsidRPr="00122AA1">
        <w:rPr>
          <w:rFonts w:ascii="Arial" w:hAnsi="Arial" w:cs="Arial"/>
        </w:rPr>
        <w:t>A key motivation for a citizen in controlling information about personal affairs and details is the protection of his or her reputation. The manner in which citizens’ personal affairs are described and depicted in radio and television programs is often a matter of community concern and debate</w:t>
      </w:r>
      <w:r w:rsidR="009B0B73" w:rsidRPr="00122AA1">
        <w:rPr>
          <w:rFonts w:ascii="Arial" w:hAnsi="Arial" w:cs="Arial"/>
        </w:rPr>
        <w:t>. It is</w:t>
      </w:r>
      <w:r w:rsidRPr="00122AA1">
        <w:rPr>
          <w:rFonts w:ascii="Arial" w:hAnsi="Arial" w:cs="Arial"/>
        </w:rPr>
        <w:t xml:space="preserve"> one of a number of issues taken into account when considering appropriate community standards for such material. </w:t>
      </w:r>
    </w:p>
    <w:p w:rsidR="00720A26" w:rsidRPr="00122AA1" w:rsidRDefault="00720A26" w:rsidP="00720A26">
      <w:pPr>
        <w:rPr>
          <w:rFonts w:ascii="Arial" w:hAnsi="Arial" w:cs="Arial"/>
        </w:rPr>
      </w:pPr>
    </w:p>
    <w:p w:rsidR="00720A26" w:rsidRPr="00122AA1" w:rsidRDefault="00720A26" w:rsidP="00720A26">
      <w:pPr>
        <w:rPr>
          <w:rFonts w:ascii="Arial" w:hAnsi="Arial" w:cs="Arial"/>
        </w:rPr>
      </w:pPr>
      <w:r w:rsidRPr="00122AA1">
        <w:rPr>
          <w:rFonts w:ascii="Arial" w:hAnsi="Arial" w:cs="Arial"/>
        </w:rPr>
        <w:t xml:space="preserve">In the online environment, management of reputation is becoming a more significant issue as information can be created and shared with considerable speed, and the data may be stored in perpetuity. All internet users have a digital or online reputation—the opinion or view that others have about the user, based on what a user says or does online. A communication that was intended to be private can rapidly become public. The evolution of online media outlets is placing considerable pressure on privacy-related safeguards for the broadcasting industry. While broadcasting services are subject to the codes of practice applying to each sector, the online presence of these services </w:t>
      </w:r>
      <w:r w:rsidR="009B0B73" w:rsidRPr="00122AA1">
        <w:rPr>
          <w:rFonts w:ascii="Arial" w:hAnsi="Arial" w:cs="Arial"/>
        </w:rPr>
        <w:t>is</w:t>
      </w:r>
      <w:r w:rsidRPr="00122AA1">
        <w:rPr>
          <w:rFonts w:ascii="Arial" w:hAnsi="Arial" w:cs="Arial"/>
        </w:rPr>
        <w:t xml:space="preserve"> not regulated by those codes. This leaves citizens with incomplete protection from media intrusion. </w:t>
      </w:r>
    </w:p>
    <w:p w:rsidR="00720A26" w:rsidRPr="00122AA1" w:rsidRDefault="00720A26" w:rsidP="00720A26">
      <w:pPr>
        <w:rPr>
          <w:rFonts w:ascii="Arial" w:hAnsi="Arial" w:cs="Arial"/>
        </w:rPr>
      </w:pPr>
    </w:p>
    <w:p w:rsidR="00720A26" w:rsidRPr="00122AA1" w:rsidRDefault="00720A26" w:rsidP="00720A26">
      <w:pPr>
        <w:rPr>
          <w:rFonts w:ascii="Arial" w:hAnsi="Arial" w:cs="Arial"/>
        </w:rPr>
      </w:pPr>
      <w:r w:rsidRPr="00122AA1">
        <w:rPr>
          <w:rFonts w:ascii="Arial" w:hAnsi="Arial" w:cs="Arial"/>
        </w:rPr>
        <w:t xml:space="preserve">Current regulatory measures </w:t>
      </w:r>
      <w:r w:rsidR="006F4E60" w:rsidRPr="00122AA1">
        <w:rPr>
          <w:rFonts w:ascii="Arial" w:hAnsi="Arial" w:cs="Arial"/>
        </w:rPr>
        <w:t xml:space="preserve">include </w:t>
      </w:r>
      <w:r w:rsidRPr="00122AA1">
        <w:rPr>
          <w:rFonts w:ascii="Arial" w:hAnsi="Arial" w:cs="Arial"/>
        </w:rPr>
        <w:t xml:space="preserve">the </w:t>
      </w:r>
      <w:r w:rsidR="00EA0914" w:rsidRPr="00122AA1">
        <w:rPr>
          <w:rFonts w:ascii="Arial" w:hAnsi="Arial" w:cs="Arial"/>
          <w:i/>
        </w:rPr>
        <w:t>Privacy Guidelines for Broadcasters</w:t>
      </w:r>
      <w:r w:rsidRPr="00122AA1">
        <w:rPr>
          <w:rFonts w:ascii="Arial" w:hAnsi="Arial" w:cs="Arial"/>
        </w:rPr>
        <w:t xml:space="preserve"> and the protection of telecommunications information under the Part 13 Telecommunications Act. Digital reputation management and controlling access to personal communications is an important aspect being addressed by the ACMA’s </w:t>
      </w:r>
      <w:hyperlink r:id="rId33" w:history="1">
        <w:r w:rsidRPr="00122AA1">
          <w:rPr>
            <w:rStyle w:val="Hyperlink"/>
            <w:rFonts w:ascii="Arial" w:hAnsi="Arial" w:cs="Arial"/>
          </w:rPr>
          <w:t>Cybersmart community education programs</w:t>
        </w:r>
      </w:hyperlink>
      <w:r w:rsidRPr="00122AA1">
        <w:rPr>
          <w:rFonts w:ascii="Arial" w:hAnsi="Arial" w:cs="Arial"/>
        </w:rPr>
        <w:t xml:space="preserve">. The emphasis of current education and information resources is on privacy controls and tools to help children and parents manage online risks. </w:t>
      </w:r>
    </w:p>
    <w:p w:rsidR="00C5115E" w:rsidRPr="00122AA1" w:rsidRDefault="00C5115E" w:rsidP="00720A26">
      <w:pPr>
        <w:rPr>
          <w:rFonts w:ascii="Arial" w:hAnsi="Arial" w:cs="Arial"/>
        </w:rPr>
      </w:pPr>
    </w:p>
    <w:p w:rsidR="0016631E" w:rsidRPr="00122AA1" w:rsidRDefault="0016631E" w:rsidP="0016631E">
      <w:pPr>
        <w:pStyle w:val="Heading2"/>
        <w:rPr>
          <w:rFonts w:ascii="Arial" w:hAnsi="Arial"/>
        </w:rPr>
      </w:pPr>
      <w:bookmarkStart w:id="35" w:name="_Toc359574771"/>
      <w:r w:rsidRPr="00122AA1">
        <w:rPr>
          <w:rFonts w:ascii="Arial" w:hAnsi="Arial"/>
        </w:rPr>
        <w:t xml:space="preserve">Emerging </w:t>
      </w:r>
      <w:r w:rsidR="00232256" w:rsidRPr="00122AA1">
        <w:rPr>
          <w:rFonts w:ascii="Arial" w:hAnsi="Arial"/>
        </w:rPr>
        <w:t xml:space="preserve">gaps in </w:t>
      </w:r>
      <w:r w:rsidRPr="00122AA1">
        <w:rPr>
          <w:rFonts w:ascii="Arial" w:hAnsi="Arial"/>
        </w:rPr>
        <w:t>personal data protections</w:t>
      </w:r>
      <w:bookmarkEnd w:id="35"/>
    </w:p>
    <w:p w:rsidR="0016631E" w:rsidRPr="00122AA1" w:rsidRDefault="00DE282B" w:rsidP="0016631E">
      <w:pPr>
        <w:rPr>
          <w:rFonts w:ascii="Arial" w:hAnsi="Arial" w:cs="Arial"/>
        </w:rPr>
      </w:pPr>
      <w:r w:rsidRPr="00122AA1">
        <w:rPr>
          <w:rFonts w:ascii="Arial" w:hAnsi="Arial" w:cs="Arial"/>
        </w:rPr>
        <w:t xml:space="preserve">A substantial amount of communications activity is occurring in environments that were not envisioned when the confidentiality safeguards in the privacy legislation and communications regulation were designed. </w:t>
      </w:r>
      <w:r w:rsidR="0016631E" w:rsidRPr="00122AA1">
        <w:rPr>
          <w:rFonts w:ascii="Arial" w:hAnsi="Arial" w:cs="Arial"/>
        </w:rPr>
        <w:t>The consequences of these developments are that issues previously confined to one sector may span a range of different services</w:t>
      </w:r>
      <w:r w:rsidR="00423F33" w:rsidRPr="00122AA1">
        <w:rPr>
          <w:rFonts w:ascii="Arial" w:hAnsi="Arial" w:cs="Arial"/>
        </w:rPr>
        <w:t>.</w:t>
      </w:r>
      <w:r w:rsidR="0016631E" w:rsidRPr="00122AA1">
        <w:rPr>
          <w:rFonts w:ascii="Arial" w:hAnsi="Arial" w:cs="Arial"/>
        </w:rPr>
        <w:t xml:space="preserve"> </w:t>
      </w:r>
      <w:r w:rsidR="00423F33" w:rsidRPr="00122AA1">
        <w:rPr>
          <w:rFonts w:ascii="Arial" w:hAnsi="Arial" w:cs="Arial"/>
        </w:rPr>
        <w:t>N</w:t>
      </w:r>
      <w:r w:rsidR="0016631E" w:rsidRPr="00122AA1">
        <w:rPr>
          <w:rFonts w:ascii="Arial" w:hAnsi="Arial" w:cs="Arial"/>
        </w:rPr>
        <w:t xml:space="preserve">ew issues are emerging that do not fit </w:t>
      </w:r>
      <w:r w:rsidR="00423F33" w:rsidRPr="00122AA1">
        <w:rPr>
          <w:rFonts w:ascii="Arial" w:hAnsi="Arial" w:cs="Arial"/>
        </w:rPr>
        <w:t xml:space="preserve">neatly </w:t>
      </w:r>
      <w:r w:rsidR="0016631E" w:rsidRPr="00122AA1">
        <w:rPr>
          <w:rFonts w:ascii="Arial" w:hAnsi="Arial" w:cs="Arial"/>
        </w:rPr>
        <w:t>in</w:t>
      </w:r>
      <w:r w:rsidR="00423F33" w:rsidRPr="00122AA1">
        <w:rPr>
          <w:rFonts w:ascii="Arial" w:hAnsi="Arial" w:cs="Arial"/>
        </w:rPr>
        <w:t>to</w:t>
      </w:r>
      <w:r w:rsidR="0016631E" w:rsidRPr="00122AA1">
        <w:rPr>
          <w:rFonts w:ascii="Arial" w:hAnsi="Arial" w:cs="Arial"/>
        </w:rPr>
        <w:t xml:space="preserve"> </w:t>
      </w:r>
      <w:r w:rsidR="00BE0692" w:rsidRPr="00122AA1">
        <w:rPr>
          <w:rFonts w:ascii="Arial" w:hAnsi="Arial" w:cs="Arial"/>
        </w:rPr>
        <w:t>existing regulatory frameworks.</w:t>
      </w:r>
      <w:r w:rsidR="0016631E" w:rsidRPr="00122AA1">
        <w:rPr>
          <w:rFonts w:ascii="Arial" w:hAnsi="Arial" w:cs="Arial"/>
        </w:rPr>
        <w:t xml:space="preserve"> </w:t>
      </w:r>
      <w:r w:rsidRPr="00122AA1">
        <w:rPr>
          <w:rFonts w:ascii="Arial" w:hAnsi="Arial" w:cs="Arial"/>
        </w:rPr>
        <w:t>Some types of personal data activity do not appear to be covered by existing protections, because of the type of data being collected, the characteristics of the entity collecting the data</w:t>
      </w:r>
      <w:r w:rsidR="00161A53" w:rsidRPr="00122AA1">
        <w:rPr>
          <w:rFonts w:ascii="Arial" w:hAnsi="Arial" w:cs="Arial"/>
        </w:rPr>
        <w:t>,</w:t>
      </w:r>
      <w:r w:rsidRPr="00122AA1">
        <w:rPr>
          <w:rFonts w:ascii="Arial" w:hAnsi="Arial" w:cs="Arial"/>
        </w:rPr>
        <w:t xml:space="preserve"> or other circumstances associated with an activity’s supply chain.</w:t>
      </w:r>
    </w:p>
    <w:p w:rsidR="00B57982" w:rsidRPr="00122AA1" w:rsidRDefault="00B57982" w:rsidP="00B57982">
      <w:pPr>
        <w:rPr>
          <w:rFonts w:ascii="Arial" w:hAnsi="Arial" w:cs="Arial"/>
        </w:rPr>
      </w:pPr>
    </w:p>
    <w:p w:rsidR="0016631E" w:rsidRPr="00122AA1" w:rsidRDefault="0016631E" w:rsidP="0016631E">
      <w:pPr>
        <w:pStyle w:val="Heading3"/>
        <w:rPr>
          <w:rFonts w:ascii="Arial" w:hAnsi="Arial"/>
        </w:rPr>
      </w:pPr>
      <w:bookmarkStart w:id="36" w:name="_Toc359338652"/>
      <w:bookmarkStart w:id="37" w:name="_Toc359574772"/>
      <w:r w:rsidRPr="00122AA1">
        <w:rPr>
          <w:rFonts w:ascii="Arial" w:hAnsi="Arial"/>
        </w:rPr>
        <w:t>Implications for informed consent</w:t>
      </w:r>
      <w:bookmarkEnd w:id="36"/>
      <w:bookmarkEnd w:id="37"/>
    </w:p>
    <w:p w:rsidR="00B57982" w:rsidRPr="00122AA1" w:rsidRDefault="00B57982" w:rsidP="00B57982">
      <w:pPr>
        <w:rPr>
          <w:rFonts w:ascii="Arial" w:hAnsi="Arial" w:cs="Arial"/>
        </w:rPr>
      </w:pPr>
      <w:r w:rsidRPr="00122AA1">
        <w:rPr>
          <w:rFonts w:ascii="Arial" w:hAnsi="Arial" w:cs="Arial"/>
        </w:rPr>
        <w:t xml:space="preserve">A current focus of regulatory safeguards is securing an individual’s informed consent to the collection and use </w:t>
      </w:r>
      <w:r w:rsidR="00BE0692" w:rsidRPr="00122AA1">
        <w:rPr>
          <w:rFonts w:ascii="Arial" w:hAnsi="Arial" w:cs="Arial"/>
        </w:rPr>
        <w:t xml:space="preserve">of their personal information. </w:t>
      </w:r>
      <w:r w:rsidRPr="00122AA1">
        <w:rPr>
          <w:rFonts w:ascii="Arial" w:hAnsi="Arial" w:cs="Arial"/>
        </w:rPr>
        <w:t>This approach has worked reasonably well to safeguard personal information that is disclosed in the course of irregular and ad hoc transactions, when users have time to make informed decisions about the information they are disclosing</w:t>
      </w:r>
      <w:r w:rsidR="00BE0692" w:rsidRPr="00122AA1">
        <w:rPr>
          <w:rFonts w:ascii="Arial" w:hAnsi="Arial" w:cs="Arial"/>
        </w:rPr>
        <w:t>.</w:t>
      </w:r>
      <w:r w:rsidRPr="00122AA1">
        <w:rPr>
          <w:rFonts w:ascii="Arial" w:hAnsi="Arial" w:cs="Arial"/>
        </w:rPr>
        <w:t xml:space="preserve"> However, this approach is under increasing pressure in an environment characterised by increasingly frequent, varied and complex transactions in a digital information economy</w:t>
      </w:r>
      <w:r w:rsidR="00BE0692" w:rsidRPr="00122AA1">
        <w:rPr>
          <w:rFonts w:ascii="Arial" w:hAnsi="Arial" w:cs="Arial"/>
        </w:rPr>
        <w:t>.</w:t>
      </w:r>
      <w:r w:rsidRPr="00122AA1">
        <w:rPr>
          <w:rFonts w:ascii="Arial" w:hAnsi="Arial" w:cs="Arial"/>
        </w:rPr>
        <w:t xml:space="preserve"> </w:t>
      </w:r>
    </w:p>
    <w:p w:rsidR="004A1FAC" w:rsidRPr="00122AA1" w:rsidRDefault="004A1FAC" w:rsidP="004A1FAC">
      <w:pPr>
        <w:rPr>
          <w:rFonts w:ascii="Arial" w:hAnsi="Arial" w:cs="Arial"/>
        </w:rPr>
      </w:pPr>
    </w:p>
    <w:p w:rsidR="004A1FAC" w:rsidRPr="00122AA1" w:rsidRDefault="004A1FAC" w:rsidP="004A1FAC">
      <w:pPr>
        <w:rPr>
          <w:rFonts w:ascii="Arial" w:hAnsi="Arial" w:cs="Arial"/>
        </w:rPr>
      </w:pPr>
      <w:r w:rsidRPr="00122AA1">
        <w:rPr>
          <w:rFonts w:ascii="Arial" w:hAnsi="Arial" w:cs="Arial"/>
        </w:rPr>
        <w:t>Any given online activity is likely to involve disclosure of numerous types of personal data, sometimes over an</w:t>
      </w:r>
      <w:r w:rsidR="00BE0692" w:rsidRPr="00122AA1">
        <w:rPr>
          <w:rFonts w:ascii="Arial" w:hAnsi="Arial" w:cs="Arial"/>
        </w:rPr>
        <w:t xml:space="preserve"> extended or continuous period.</w:t>
      </w:r>
      <w:r w:rsidRPr="00122AA1">
        <w:rPr>
          <w:rFonts w:ascii="Arial" w:hAnsi="Arial" w:cs="Arial"/>
        </w:rPr>
        <w:t xml:space="preserve"> The data collected through these activities is likely to be stored for an extended period and may be p</w:t>
      </w:r>
      <w:r w:rsidR="00BE0692" w:rsidRPr="00122AA1">
        <w:rPr>
          <w:rFonts w:ascii="Arial" w:hAnsi="Arial" w:cs="Arial"/>
        </w:rPr>
        <w:t>ut to a variety of uses</w:t>
      </w:r>
      <w:r w:rsidR="00423F33" w:rsidRPr="00122AA1">
        <w:rPr>
          <w:rFonts w:ascii="Arial" w:hAnsi="Arial" w:cs="Arial"/>
        </w:rPr>
        <w:t xml:space="preserve"> in the future</w:t>
      </w:r>
      <w:r w:rsidR="00BE0692" w:rsidRPr="00122AA1">
        <w:rPr>
          <w:rFonts w:ascii="Arial" w:hAnsi="Arial" w:cs="Arial"/>
        </w:rPr>
        <w:t>.</w:t>
      </w:r>
      <w:r w:rsidRPr="00122AA1">
        <w:rPr>
          <w:rFonts w:ascii="Arial" w:hAnsi="Arial" w:cs="Arial"/>
        </w:rPr>
        <w:t xml:space="preserve"> In this environment, it would be impractical for individuals and organisations to negotiate the rights to such data, without substantially detracting fro</w:t>
      </w:r>
      <w:r w:rsidR="00BE0692" w:rsidRPr="00122AA1">
        <w:rPr>
          <w:rFonts w:ascii="Arial" w:hAnsi="Arial" w:cs="Arial"/>
        </w:rPr>
        <w:t>m a consumer’s experience.</w:t>
      </w:r>
      <w:r w:rsidRPr="00122AA1">
        <w:rPr>
          <w:rFonts w:ascii="Arial" w:hAnsi="Arial" w:cs="Arial"/>
        </w:rPr>
        <w:t xml:space="preserve"> </w:t>
      </w:r>
      <w:r w:rsidR="00BE0692" w:rsidRPr="00122AA1">
        <w:rPr>
          <w:rFonts w:ascii="Arial" w:hAnsi="Arial" w:cs="Arial"/>
        </w:rPr>
        <w:t>Further</w:t>
      </w:r>
      <w:r w:rsidR="00423F33" w:rsidRPr="00122AA1">
        <w:rPr>
          <w:rFonts w:ascii="Arial" w:hAnsi="Arial" w:cs="Arial"/>
        </w:rPr>
        <w:t>more</w:t>
      </w:r>
      <w:r w:rsidR="00BE0692" w:rsidRPr="00122AA1">
        <w:rPr>
          <w:rFonts w:ascii="Arial" w:hAnsi="Arial" w:cs="Arial"/>
        </w:rPr>
        <w:t>,</w:t>
      </w:r>
      <w:r w:rsidRPr="00122AA1">
        <w:rPr>
          <w:rFonts w:ascii="Arial" w:hAnsi="Arial" w:cs="Arial"/>
        </w:rPr>
        <w:t xml:space="preserve"> it seems unlikely that consumers can be expected to provide informed consent to the use of their data when possible future uses are not k</w:t>
      </w:r>
      <w:r w:rsidR="00BE0692" w:rsidRPr="00122AA1">
        <w:rPr>
          <w:rFonts w:ascii="Arial" w:hAnsi="Arial" w:cs="Arial"/>
        </w:rPr>
        <w:t>nown at the time of collection.</w:t>
      </w:r>
      <w:r w:rsidRPr="00122AA1">
        <w:rPr>
          <w:rFonts w:ascii="Arial" w:hAnsi="Arial" w:cs="Arial"/>
        </w:rPr>
        <w:t xml:space="preserve"> </w:t>
      </w:r>
    </w:p>
    <w:p w:rsidR="004A1FAC" w:rsidRPr="00122AA1" w:rsidRDefault="004A1FAC" w:rsidP="004A1FAC">
      <w:pPr>
        <w:rPr>
          <w:rFonts w:ascii="Arial" w:hAnsi="Arial" w:cs="Arial"/>
        </w:rPr>
      </w:pPr>
    </w:p>
    <w:p w:rsidR="00AD5E90" w:rsidRPr="00122AA1" w:rsidRDefault="004A1FAC" w:rsidP="004A1FAC">
      <w:pPr>
        <w:rPr>
          <w:rFonts w:ascii="Arial" w:hAnsi="Arial" w:cs="Arial"/>
        </w:rPr>
      </w:pPr>
      <w:r w:rsidRPr="00122AA1">
        <w:rPr>
          <w:rFonts w:ascii="Arial" w:hAnsi="Arial" w:cs="Arial"/>
        </w:rPr>
        <w:t>These factors suggest that alternative, non-regulatory approaches to specifying rights and permissions to personal data may be required.</w:t>
      </w:r>
    </w:p>
    <w:p w:rsidR="00DB052E" w:rsidRPr="00122AA1" w:rsidRDefault="00DB052E" w:rsidP="007B34A1">
      <w:pPr>
        <w:rPr>
          <w:rFonts w:ascii="Arial" w:hAnsi="Arial" w:cs="Arial"/>
        </w:rPr>
      </w:pPr>
    </w:p>
    <w:p w:rsidR="00DB052E" w:rsidRPr="00122AA1" w:rsidRDefault="005B2FD4" w:rsidP="00DA26A5">
      <w:pPr>
        <w:pStyle w:val="Heading3"/>
        <w:rPr>
          <w:rFonts w:ascii="Arial" w:hAnsi="Arial"/>
        </w:rPr>
      </w:pPr>
      <w:bookmarkStart w:id="38" w:name="_Toc359338653"/>
      <w:bookmarkStart w:id="39" w:name="_Toc359574773"/>
      <w:r w:rsidRPr="00122AA1">
        <w:rPr>
          <w:rFonts w:ascii="Arial" w:hAnsi="Arial"/>
        </w:rPr>
        <w:t xml:space="preserve">Unattended and poorly attended </w:t>
      </w:r>
      <w:r w:rsidR="00C5115E" w:rsidRPr="00122AA1">
        <w:rPr>
          <w:rFonts w:ascii="Arial" w:hAnsi="Arial"/>
        </w:rPr>
        <w:t>risks</w:t>
      </w:r>
      <w:bookmarkEnd w:id="38"/>
      <w:bookmarkEnd w:id="39"/>
    </w:p>
    <w:p w:rsidR="00B876A8" w:rsidRPr="00122AA1" w:rsidRDefault="00DB052E" w:rsidP="00193BC4">
      <w:pPr>
        <w:rPr>
          <w:rFonts w:ascii="Arial" w:hAnsi="Arial" w:cs="Arial"/>
        </w:rPr>
      </w:pPr>
      <w:r w:rsidRPr="00122AA1">
        <w:rPr>
          <w:rFonts w:ascii="Arial" w:hAnsi="Arial" w:cs="Arial"/>
        </w:rPr>
        <w:t>The capacity to collect, correlate, store</w:t>
      </w:r>
      <w:r w:rsidR="00BE0692" w:rsidRPr="00122AA1">
        <w:rPr>
          <w:rFonts w:ascii="Arial" w:hAnsi="Arial" w:cs="Arial"/>
        </w:rPr>
        <w:t xml:space="preserve"> and trade personal information</w:t>
      </w:r>
      <w:r w:rsidRPr="00122AA1">
        <w:rPr>
          <w:rFonts w:ascii="Arial" w:hAnsi="Arial" w:cs="Arial"/>
        </w:rPr>
        <w:t>, including anonymous information</w:t>
      </w:r>
      <w:r w:rsidR="000934E9" w:rsidRPr="00122AA1">
        <w:rPr>
          <w:rFonts w:ascii="Arial" w:hAnsi="Arial" w:cs="Arial"/>
        </w:rPr>
        <w:t>,</w:t>
      </w:r>
      <w:r w:rsidRPr="00122AA1">
        <w:rPr>
          <w:rFonts w:ascii="Arial" w:hAnsi="Arial" w:cs="Arial"/>
        </w:rPr>
        <w:t xml:space="preserve"> is raising different forms of risk, not specifically addressed within</w:t>
      </w:r>
      <w:r w:rsidR="00BE0692" w:rsidRPr="00122AA1">
        <w:rPr>
          <w:rFonts w:ascii="Arial" w:hAnsi="Arial" w:cs="Arial"/>
        </w:rPr>
        <w:t xml:space="preserve"> current protection mechanisms.</w:t>
      </w:r>
      <w:r w:rsidRPr="00122AA1">
        <w:rPr>
          <w:rFonts w:ascii="Arial" w:hAnsi="Arial" w:cs="Arial"/>
        </w:rPr>
        <w:t xml:space="preserve"> This includes concerns about the security, privacy and management of personal information that is stored in cloud services, including services housed in other juris</w:t>
      </w:r>
      <w:r w:rsidR="00BE0692" w:rsidRPr="00122AA1">
        <w:rPr>
          <w:rFonts w:ascii="Arial" w:hAnsi="Arial" w:cs="Arial"/>
        </w:rPr>
        <w:t>dictions.</w:t>
      </w:r>
      <w:r w:rsidRPr="00122AA1">
        <w:rPr>
          <w:rFonts w:ascii="Arial" w:hAnsi="Arial" w:cs="Arial"/>
        </w:rPr>
        <w:t xml:space="preserve"> It is also relevant to practices such as data harvesting from home wireless networks by commercial entities, and the uncontrolled or potential malicious use of information about personal activities collected via location</w:t>
      </w:r>
      <w:r w:rsidR="000934E9" w:rsidRPr="00122AA1">
        <w:rPr>
          <w:rFonts w:ascii="Arial" w:hAnsi="Arial" w:cs="Arial"/>
        </w:rPr>
        <w:t>-</w:t>
      </w:r>
      <w:r w:rsidRPr="00122AA1">
        <w:rPr>
          <w:rFonts w:ascii="Arial" w:hAnsi="Arial" w:cs="Arial"/>
        </w:rPr>
        <w:t>tracking apps or website</w:t>
      </w:r>
      <w:r w:rsidR="000934E9" w:rsidRPr="00122AA1">
        <w:rPr>
          <w:rFonts w:ascii="Arial" w:hAnsi="Arial" w:cs="Arial"/>
        </w:rPr>
        <w:t>-</w:t>
      </w:r>
      <w:r w:rsidRPr="00122AA1">
        <w:rPr>
          <w:rFonts w:ascii="Arial" w:hAnsi="Arial" w:cs="Arial"/>
        </w:rPr>
        <w:t>tracking cookies.</w:t>
      </w:r>
    </w:p>
    <w:p w:rsidR="00710C8C" w:rsidRPr="00122AA1" w:rsidRDefault="00710C8C" w:rsidP="00193BC4">
      <w:pPr>
        <w:rPr>
          <w:rFonts w:ascii="Arial" w:hAnsi="Arial" w:cs="Arial"/>
        </w:rPr>
      </w:pPr>
    </w:p>
    <w:p w:rsidR="00710C8C" w:rsidRPr="00122AA1" w:rsidRDefault="00EB2176" w:rsidP="00193BC4">
      <w:pPr>
        <w:rPr>
          <w:rFonts w:ascii="Arial" w:hAnsi="Arial" w:cs="Arial"/>
        </w:rPr>
      </w:pPr>
      <w:r w:rsidRPr="00122AA1">
        <w:rPr>
          <w:rFonts w:ascii="Arial" w:hAnsi="Arial" w:cs="Arial"/>
        </w:rPr>
        <w:t>E</w:t>
      </w:r>
      <w:r w:rsidR="00710C8C" w:rsidRPr="00122AA1">
        <w:rPr>
          <w:rFonts w:ascii="Arial" w:hAnsi="Arial" w:cs="Arial"/>
        </w:rPr>
        <w:t xml:space="preserve">xisting protections are largely confined to data which readily identifies a specific individual. However, the capacity for data sets to be combined and correlated means that even data that is thought to be anonymous may </w:t>
      </w:r>
      <w:r w:rsidRPr="00122AA1">
        <w:rPr>
          <w:rFonts w:ascii="Arial" w:hAnsi="Arial" w:cs="Arial"/>
        </w:rPr>
        <w:t xml:space="preserve">be used in ways that raises particular </w:t>
      </w:r>
      <w:r w:rsidR="00710C8C" w:rsidRPr="00122AA1">
        <w:rPr>
          <w:rFonts w:ascii="Arial" w:hAnsi="Arial" w:cs="Arial"/>
        </w:rPr>
        <w:t>privacy concerns for</w:t>
      </w:r>
      <w:r w:rsidRPr="00122AA1">
        <w:rPr>
          <w:rFonts w:ascii="Arial" w:hAnsi="Arial" w:cs="Arial"/>
        </w:rPr>
        <w:t xml:space="preserve"> </w:t>
      </w:r>
      <w:r w:rsidR="00710C8C" w:rsidRPr="00122AA1">
        <w:rPr>
          <w:rFonts w:ascii="Arial" w:hAnsi="Arial" w:cs="Arial"/>
        </w:rPr>
        <w:t>individuals.  The ACMA’s research also shows that individuals also have concerns about the collection and use of behavioural information</w:t>
      </w:r>
      <w:r w:rsidR="00161A53" w:rsidRPr="00122AA1">
        <w:rPr>
          <w:rFonts w:ascii="Arial" w:hAnsi="Arial" w:cs="Arial"/>
        </w:rPr>
        <w:t>—</w:t>
      </w:r>
      <w:r w:rsidR="00710C8C" w:rsidRPr="00122AA1">
        <w:rPr>
          <w:rFonts w:ascii="Arial" w:hAnsi="Arial" w:cs="Arial"/>
        </w:rPr>
        <w:t>including location data and other online behaviour measurement</w:t>
      </w:r>
      <w:r w:rsidR="00531CB8" w:rsidRPr="00122AA1">
        <w:rPr>
          <w:rFonts w:ascii="Arial" w:hAnsi="Arial" w:cs="Arial"/>
        </w:rPr>
        <w:t>s</w:t>
      </w:r>
      <w:r w:rsidR="00161A53" w:rsidRPr="00122AA1">
        <w:rPr>
          <w:rFonts w:ascii="Arial" w:hAnsi="Arial" w:cs="Arial"/>
        </w:rPr>
        <w:t>—</w:t>
      </w:r>
      <w:r w:rsidR="00710C8C" w:rsidRPr="00122AA1">
        <w:rPr>
          <w:rFonts w:ascii="Arial" w:hAnsi="Arial" w:cs="Arial"/>
        </w:rPr>
        <w:t xml:space="preserve">even though their identities may not be apparent from </w:t>
      </w:r>
      <w:r w:rsidRPr="00122AA1">
        <w:rPr>
          <w:rFonts w:ascii="Arial" w:hAnsi="Arial" w:cs="Arial"/>
        </w:rPr>
        <w:t>this type of information</w:t>
      </w:r>
      <w:r w:rsidR="00710C8C" w:rsidRPr="00122AA1">
        <w:rPr>
          <w:rFonts w:ascii="Arial" w:hAnsi="Arial" w:cs="Arial"/>
        </w:rPr>
        <w:t>.</w:t>
      </w:r>
      <w:r w:rsidR="00531CB8" w:rsidRPr="00122AA1">
        <w:rPr>
          <w:rFonts w:ascii="Arial" w:hAnsi="Arial" w:cs="Arial"/>
        </w:rPr>
        <w:t xml:space="preserve"> </w:t>
      </w:r>
      <w:r w:rsidR="00476472" w:rsidRPr="00122AA1">
        <w:rPr>
          <w:rFonts w:ascii="Arial" w:hAnsi="Arial" w:cs="Arial"/>
        </w:rPr>
        <w:t xml:space="preserve">The collection of information about personal activities that take place in public, but where an individual may expect to enjoy seclusion, is another area of potential concern that may not be addressed </w:t>
      </w:r>
      <w:r w:rsidR="00161A53" w:rsidRPr="00122AA1">
        <w:rPr>
          <w:rFonts w:ascii="Arial" w:hAnsi="Arial" w:cs="Arial"/>
        </w:rPr>
        <w:t xml:space="preserve">comprehensively </w:t>
      </w:r>
      <w:r w:rsidR="00476472" w:rsidRPr="00122AA1">
        <w:rPr>
          <w:rFonts w:ascii="Arial" w:hAnsi="Arial" w:cs="Arial"/>
        </w:rPr>
        <w:t xml:space="preserve">by existing safeguards. </w:t>
      </w:r>
      <w:r w:rsidR="00531CB8" w:rsidRPr="00122AA1">
        <w:rPr>
          <w:rFonts w:ascii="Arial" w:hAnsi="Arial" w:cs="Arial"/>
        </w:rPr>
        <w:t>This suggests a need to reconsider the scope of existing safeguards and to develop protections</w:t>
      </w:r>
      <w:r w:rsidR="00161A53" w:rsidRPr="00122AA1">
        <w:rPr>
          <w:rFonts w:ascii="Arial" w:hAnsi="Arial" w:cs="Arial"/>
        </w:rPr>
        <w:t>,</w:t>
      </w:r>
      <w:r w:rsidR="00531CB8" w:rsidRPr="00122AA1">
        <w:rPr>
          <w:rFonts w:ascii="Arial" w:hAnsi="Arial" w:cs="Arial"/>
        </w:rPr>
        <w:t xml:space="preserve"> which align with community expectations.</w:t>
      </w:r>
    </w:p>
    <w:p w:rsidR="00193BC4" w:rsidRPr="00122AA1" w:rsidRDefault="00193BC4" w:rsidP="00193BC4">
      <w:pPr>
        <w:rPr>
          <w:rFonts w:ascii="Arial" w:hAnsi="Arial" w:cs="Arial"/>
        </w:rPr>
      </w:pPr>
    </w:p>
    <w:p w:rsidR="00B876A8" w:rsidRPr="00122AA1" w:rsidRDefault="00EA0914" w:rsidP="00B876A8">
      <w:pPr>
        <w:pStyle w:val="Heading3"/>
        <w:rPr>
          <w:rFonts w:ascii="Arial" w:hAnsi="Arial"/>
        </w:rPr>
      </w:pPr>
      <w:bookmarkStart w:id="40" w:name="_Toc359338654"/>
      <w:bookmarkStart w:id="41" w:name="_Toc359574774"/>
      <w:r w:rsidRPr="00122AA1">
        <w:rPr>
          <w:rFonts w:ascii="Arial" w:hAnsi="Arial"/>
        </w:rPr>
        <w:t>Coherent frameworks</w:t>
      </w:r>
      <w:r w:rsidR="00B876A8" w:rsidRPr="00122AA1">
        <w:rPr>
          <w:rFonts w:ascii="Arial" w:hAnsi="Arial"/>
        </w:rPr>
        <w:t xml:space="preserve"> for identification and authentication techniques</w:t>
      </w:r>
      <w:bookmarkEnd w:id="40"/>
      <w:bookmarkEnd w:id="41"/>
      <w:r w:rsidR="00B876A8" w:rsidRPr="00122AA1">
        <w:rPr>
          <w:rFonts w:ascii="Arial" w:hAnsi="Arial"/>
        </w:rPr>
        <w:t xml:space="preserve"> </w:t>
      </w:r>
    </w:p>
    <w:p w:rsidR="00B876A8" w:rsidRPr="00122AA1" w:rsidRDefault="00B876A8" w:rsidP="00B876A8">
      <w:pPr>
        <w:rPr>
          <w:rFonts w:ascii="Arial" w:hAnsi="Arial" w:cs="Arial"/>
        </w:rPr>
      </w:pPr>
      <w:r w:rsidRPr="00122AA1">
        <w:rPr>
          <w:rFonts w:ascii="Arial" w:hAnsi="Arial" w:cs="Arial"/>
        </w:rPr>
        <w:t>There is widespread recognition that existing login and password-based authentication techniques are highly v</w:t>
      </w:r>
      <w:r w:rsidR="00BE0692" w:rsidRPr="00122AA1">
        <w:rPr>
          <w:rFonts w:ascii="Arial" w:hAnsi="Arial" w:cs="Arial"/>
        </w:rPr>
        <w:t>ulnerable to security breaches.</w:t>
      </w:r>
      <w:r w:rsidRPr="00122AA1">
        <w:rPr>
          <w:rFonts w:ascii="Arial" w:hAnsi="Arial" w:cs="Arial"/>
        </w:rPr>
        <w:t xml:space="preserve"> This is due to a range of factors, including the difficulties that citizens face </w:t>
      </w:r>
      <w:r w:rsidR="00287F59" w:rsidRPr="00122AA1">
        <w:rPr>
          <w:rFonts w:ascii="Arial" w:hAnsi="Arial" w:cs="Arial"/>
        </w:rPr>
        <w:t xml:space="preserve">in </w:t>
      </w:r>
      <w:r w:rsidRPr="00122AA1">
        <w:rPr>
          <w:rFonts w:ascii="Arial" w:hAnsi="Arial" w:cs="Arial"/>
        </w:rPr>
        <w:t>managing multiple passwords that are each sufficiently complex to provide an</w:t>
      </w:r>
      <w:r w:rsidR="00253D8F" w:rsidRPr="00122AA1">
        <w:rPr>
          <w:rFonts w:ascii="Arial" w:hAnsi="Arial" w:cs="Arial"/>
        </w:rPr>
        <w:t xml:space="preserve"> appropriate level of security.</w:t>
      </w:r>
      <w:r w:rsidRPr="00122AA1">
        <w:rPr>
          <w:rFonts w:ascii="Arial" w:hAnsi="Arial" w:cs="Arial"/>
        </w:rPr>
        <w:t xml:space="preserve"> While ACMA research show</w:t>
      </w:r>
      <w:r w:rsidR="00287F59" w:rsidRPr="00122AA1">
        <w:rPr>
          <w:rFonts w:ascii="Arial" w:hAnsi="Arial" w:cs="Arial"/>
        </w:rPr>
        <w:t>s</w:t>
      </w:r>
      <w:r w:rsidRPr="00122AA1">
        <w:rPr>
          <w:rFonts w:ascii="Arial" w:hAnsi="Arial" w:cs="Arial"/>
        </w:rPr>
        <w:t xml:space="preserve"> that individuals have only limited concerns about the management of their online credentials, this may not be commensurate with the level of risk po</w:t>
      </w:r>
      <w:r w:rsidR="00253D8F" w:rsidRPr="00122AA1">
        <w:rPr>
          <w:rFonts w:ascii="Arial" w:hAnsi="Arial" w:cs="Arial"/>
        </w:rPr>
        <w:t>sed by many citizens</w:t>
      </w:r>
      <w:r w:rsidR="00287F59" w:rsidRPr="00122AA1">
        <w:rPr>
          <w:rFonts w:ascii="Arial" w:hAnsi="Arial" w:cs="Arial"/>
        </w:rPr>
        <w:t>’</w:t>
      </w:r>
      <w:r w:rsidR="00253D8F" w:rsidRPr="00122AA1">
        <w:rPr>
          <w:rFonts w:ascii="Arial" w:hAnsi="Arial" w:cs="Arial"/>
        </w:rPr>
        <w:t xml:space="preserve"> practices.</w:t>
      </w:r>
      <w:r w:rsidRPr="00122AA1">
        <w:rPr>
          <w:rFonts w:ascii="Arial" w:hAnsi="Arial" w:cs="Arial"/>
        </w:rPr>
        <w:t xml:space="preserve"> For example, reus</w:t>
      </w:r>
      <w:r w:rsidR="00287F59" w:rsidRPr="00122AA1">
        <w:rPr>
          <w:rFonts w:ascii="Arial" w:hAnsi="Arial" w:cs="Arial"/>
        </w:rPr>
        <w:t>ing</w:t>
      </w:r>
      <w:r w:rsidRPr="00122AA1">
        <w:rPr>
          <w:rFonts w:ascii="Arial" w:hAnsi="Arial" w:cs="Arial"/>
        </w:rPr>
        <w:t xml:space="preserve"> passwords across multiple sites and </w:t>
      </w:r>
      <w:r w:rsidR="00287F59" w:rsidRPr="00122AA1">
        <w:rPr>
          <w:rFonts w:ascii="Arial" w:hAnsi="Arial" w:cs="Arial"/>
        </w:rPr>
        <w:t>using</w:t>
      </w:r>
      <w:r w:rsidRPr="00122AA1">
        <w:rPr>
          <w:rFonts w:ascii="Arial" w:hAnsi="Arial" w:cs="Arial"/>
        </w:rPr>
        <w:t xml:space="preserve"> simple, easily guessed passwords is relatively high</w:t>
      </w:r>
      <w:r w:rsidR="00287F59" w:rsidRPr="00122AA1">
        <w:rPr>
          <w:rFonts w:ascii="Arial" w:hAnsi="Arial" w:cs="Arial"/>
        </w:rPr>
        <w:t>. This</w:t>
      </w:r>
      <w:r w:rsidRPr="00122AA1">
        <w:rPr>
          <w:rFonts w:ascii="Arial" w:hAnsi="Arial" w:cs="Arial"/>
        </w:rPr>
        <w:t xml:space="preserve"> </w:t>
      </w:r>
      <w:r w:rsidR="00287F59" w:rsidRPr="00122AA1">
        <w:rPr>
          <w:rFonts w:ascii="Arial" w:hAnsi="Arial" w:cs="Arial"/>
        </w:rPr>
        <w:t xml:space="preserve">leaves </w:t>
      </w:r>
      <w:r w:rsidRPr="00122AA1">
        <w:rPr>
          <w:rFonts w:ascii="Arial" w:hAnsi="Arial" w:cs="Arial"/>
        </w:rPr>
        <w:t>consumers vulnerable to online fraud.</w:t>
      </w:r>
    </w:p>
    <w:p w:rsidR="00B876A8" w:rsidRPr="00122AA1" w:rsidRDefault="00B876A8" w:rsidP="00B876A8">
      <w:pPr>
        <w:rPr>
          <w:rFonts w:ascii="Arial" w:hAnsi="Arial" w:cs="Arial"/>
        </w:rPr>
      </w:pPr>
    </w:p>
    <w:p w:rsidR="00B876A8" w:rsidRPr="00122AA1" w:rsidRDefault="00B876A8" w:rsidP="00B876A8">
      <w:pPr>
        <w:rPr>
          <w:rFonts w:ascii="Arial" w:hAnsi="Arial" w:cs="Arial"/>
        </w:rPr>
      </w:pPr>
      <w:r w:rsidRPr="00122AA1">
        <w:rPr>
          <w:rFonts w:ascii="Arial" w:hAnsi="Arial" w:cs="Arial"/>
        </w:rPr>
        <w:t>Wider use of trusted identities has the potential to make user identification and authen</w:t>
      </w:r>
      <w:r w:rsidR="00253D8F" w:rsidRPr="00122AA1">
        <w:rPr>
          <w:rFonts w:ascii="Arial" w:hAnsi="Arial" w:cs="Arial"/>
        </w:rPr>
        <w:t>tication processes more secure.</w:t>
      </w:r>
      <w:r w:rsidRPr="00122AA1">
        <w:rPr>
          <w:rFonts w:ascii="Arial" w:hAnsi="Arial" w:cs="Arial"/>
        </w:rPr>
        <w:t xml:space="preserve"> Through initiatives such as the OpenID Foundation, a market for trusted identity products is eme</w:t>
      </w:r>
      <w:r w:rsidR="00253D8F" w:rsidRPr="00122AA1">
        <w:rPr>
          <w:rFonts w:ascii="Arial" w:hAnsi="Arial" w:cs="Arial"/>
        </w:rPr>
        <w:t>rging.</w:t>
      </w:r>
      <w:r w:rsidRPr="00122AA1">
        <w:rPr>
          <w:rFonts w:ascii="Arial" w:hAnsi="Arial" w:cs="Arial"/>
        </w:rPr>
        <w:t xml:space="preserve"> Such products allow online service providers to identify and authenticate users without the need to store and manage</w:t>
      </w:r>
      <w:r w:rsidR="00253D8F" w:rsidRPr="00122AA1">
        <w:rPr>
          <w:rFonts w:ascii="Arial" w:hAnsi="Arial" w:cs="Arial"/>
        </w:rPr>
        <w:t xml:space="preserve"> users’ credentials.</w:t>
      </w:r>
      <w:r w:rsidRPr="00122AA1">
        <w:rPr>
          <w:rFonts w:ascii="Arial" w:hAnsi="Arial" w:cs="Arial"/>
        </w:rPr>
        <w:t xml:space="preserve"> They also simplify online transactions for users by reducing the numbers of logins and passwords t</w:t>
      </w:r>
      <w:r w:rsidR="00253D8F" w:rsidRPr="00122AA1">
        <w:rPr>
          <w:rFonts w:ascii="Arial" w:hAnsi="Arial" w:cs="Arial"/>
        </w:rPr>
        <w:t xml:space="preserve">hat </w:t>
      </w:r>
      <w:r w:rsidR="00601DBE" w:rsidRPr="00122AA1">
        <w:rPr>
          <w:rFonts w:ascii="Arial" w:hAnsi="Arial" w:cs="Arial"/>
        </w:rPr>
        <w:t xml:space="preserve">they </w:t>
      </w:r>
      <w:r w:rsidR="00253D8F" w:rsidRPr="00122AA1">
        <w:rPr>
          <w:rFonts w:ascii="Arial" w:hAnsi="Arial" w:cs="Arial"/>
        </w:rPr>
        <w:t>need to manage.</w:t>
      </w:r>
      <w:r w:rsidRPr="00122AA1">
        <w:rPr>
          <w:rFonts w:ascii="Arial" w:hAnsi="Arial" w:cs="Arial"/>
        </w:rPr>
        <w:t xml:space="preserve"> </w:t>
      </w:r>
    </w:p>
    <w:p w:rsidR="00B876A8" w:rsidRPr="00122AA1" w:rsidRDefault="00B876A8" w:rsidP="00B876A8">
      <w:pPr>
        <w:rPr>
          <w:rFonts w:ascii="Arial" w:hAnsi="Arial" w:cs="Arial"/>
        </w:rPr>
      </w:pPr>
    </w:p>
    <w:p w:rsidR="00EF18FB" w:rsidRPr="00122AA1" w:rsidRDefault="00B876A8" w:rsidP="00B876A8">
      <w:pPr>
        <w:rPr>
          <w:rFonts w:ascii="Arial" w:hAnsi="Arial" w:cs="Arial"/>
        </w:rPr>
      </w:pPr>
      <w:r w:rsidRPr="00122AA1">
        <w:rPr>
          <w:rFonts w:ascii="Arial" w:hAnsi="Arial" w:cs="Arial"/>
        </w:rPr>
        <w:t>The ACMA’s research also identified design features for trusted identity mechanisms that are of high importance to citizens when deciding whet</w:t>
      </w:r>
      <w:r w:rsidR="00253D8F" w:rsidRPr="00122AA1">
        <w:rPr>
          <w:rFonts w:ascii="Arial" w:hAnsi="Arial" w:cs="Arial"/>
        </w:rPr>
        <w:t>her or not they should use one.</w:t>
      </w:r>
      <w:r w:rsidRPr="00122AA1">
        <w:rPr>
          <w:rFonts w:ascii="Arial" w:hAnsi="Arial" w:cs="Arial"/>
        </w:rPr>
        <w:t xml:space="preserve"> When asked what features they would consider to be essential, 59 per cent selected the ability to choose which items of personal information are passed from the identity provider to the site being accessed</w:t>
      </w:r>
      <w:r w:rsidR="00601DBE" w:rsidRPr="00122AA1">
        <w:rPr>
          <w:rFonts w:ascii="Arial" w:hAnsi="Arial" w:cs="Arial"/>
        </w:rPr>
        <w:t xml:space="preserve">. Forty-seven </w:t>
      </w:r>
      <w:r w:rsidRPr="00122AA1">
        <w:rPr>
          <w:rFonts w:ascii="Arial" w:hAnsi="Arial" w:cs="Arial"/>
        </w:rPr>
        <w:t xml:space="preserve">per cent </w:t>
      </w:r>
      <w:r w:rsidR="00601DBE" w:rsidRPr="00122AA1">
        <w:rPr>
          <w:rFonts w:ascii="Arial" w:hAnsi="Arial" w:cs="Arial"/>
        </w:rPr>
        <w:t>wanted</w:t>
      </w:r>
      <w:r w:rsidRPr="00122AA1">
        <w:rPr>
          <w:rFonts w:ascii="Arial" w:hAnsi="Arial" w:cs="Arial"/>
        </w:rPr>
        <w:t xml:space="preserve"> to make such choices on a case-by-case basis. Some 56 per cent said they would expect the identity provider to reimburse them for any financial loss re</w:t>
      </w:r>
      <w:r w:rsidR="00253D8F" w:rsidRPr="00122AA1">
        <w:rPr>
          <w:rFonts w:ascii="Arial" w:hAnsi="Arial" w:cs="Arial"/>
        </w:rPr>
        <w:t>sulting from a security breach.</w:t>
      </w:r>
      <w:r w:rsidRPr="00122AA1">
        <w:rPr>
          <w:rFonts w:ascii="Arial" w:hAnsi="Arial" w:cs="Arial"/>
        </w:rPr>
        <w:t xml:space="preserve"> Respondents also expected to be informed about and have control over any information that was passed on to other organisations.  </w:t>
      </w:r>
    </w:p>
    <w:p w:rsidR="00EF18FB" w:rsidRPr="00122AA1" w:rsidRDefault="00EF18FB" w:rsidP="00B876A8">
      <w:pPr>
        <w:rPr>
          <w:rFonts w:ascii="Arial" w:hAnsi="Arial" w:cs="Arial"/>
        </w:rPr>
      </w:pPr>
    </w:p>
    <w:p w:rsidR="00B876A8" w:rsidRPr="00122AA1" w:rsidRDefault="00B876A8" w:rsidP="00B876A8">
      <w:pPr>
        <w:rPr>
          <w:rFonts w:ascii="Arial" w:hAnsi="Arial" w:cs="Arial"/>
        </w:rPr>
      </w:pPr>
      <w:r w:rsidRPr="00122AA1">
        <w:rPr>
          <w:rFonts w:ascii="Arial" w:hAnsi="Arial" w:cs="Arial"/>
        </w:rPr>
        <w:t xml:space="preserve">These findings point to citizens having a strong interest in being able to control the flow of their personal data when using a trusted identity mechanism. </w:t>
      </w:r>
      <w:r w:rsidR="003D31BE" w:rsidRPr="00122AA1">
        <w:rPr>
          <w:rFonts w:ascii="Arial" w:hAnsi="Arial" w:cs="Arial"/>
        </w:rPr>
        <w:t>D</w:t>
      </w:r>
      <w:r w:rsidRPr="00122AA1">
        <w:rPr>
          <w:rFonts w:ascii="Arial" w:hAnsi="Arial" w:cs="Arial"/>
        </w:rPr>
        <w:t xml:space="preserve">igital identity providers </w:t>
      </w:r>
      <w:r w:rsidR="003D31BE" w:rsidRPr="00122AA1">
        <w:rPr>
          <w:rFonts w:ascii="Arial" w:hAnsi="Arial" w:cs="Arial"/>
        </w:rPr>
        <w:t xml:space="preserve">should </w:t>
      </w:r>
      <w:r w:rsidRPr="00122AA1">
        <w:rPr>
          <w:rFonts w:ascii="Arial" w:hAnsi="Arial" w:cs="Arial"/>
        </w:rPr>
        <w:t>take these preferences into account when designing and promoting their trusted identity measures.</w:t>
      </w:r>
    </w:p>
    <w:p w:rsidR="00B876A8" w:rsidRPr="00122AA1" w:rsidRDefault="00B876A8" w:rsidP="00B876A8">
      <w:pPr>
        <w:rPr>
          <w:rFonts w:ascii="Arial" w:hAnsi="Arial" w:cs="Arial"/>
        </w:rPr>
      </w:pPr>
    </w:p>
    <w:p w:rsidR="00FF7858" w:rsidRPr="00122AA1" w:rsidRDefault="00B876A8" w:rsidP="00B876A8">
      <w:pPr>
        <w:rPr>
          <w:rFonts w:ascii="Arial" w:hAnsi="Arial" w:cs="Arial"/>
        </w:rPr>
      </w:pPr>
      <w:r w:rsidRPr="00122AA1">
        <w:rPr>
          <w:rFonts w:ascii="Arial" w:hAnsi="Arial" w:cs="Arial"/>
        </w:rPr>
        <w:t>To date</w:t>
      </w:r>
      <w:r w:rsidR="003D31BE" w:rsidRPr="00122AA1">
        <w:rPr>
          <w:rFonts w:ascii="Arial" w:hAnsi="Arial" w:cs="Arial"/>
        </w:rPr>
        <w:t>,</w:t>
      </w:r>
      <w:r w:rsidRPr="00122AA1">
        <w:rPr>
          <w:rFonts w:ascii="Arial" w:hAnsi="Arial" w:cs="Arial"/>
        </w:rPr>
        <w:t xml:space="preserve"> there has been limited progress on developing trusted identity measures that enable citizens to verify their identities to the range of online services now operat</w:t>
      </w:r>
      <w:r w:rsidR="00253D8F" w:rsidRPr="00122AA1">
        <w:rPr>
          <w:rFonts w:ascii="Arial" w:hAnsi="Arial" w:cs="Arial"/>
        </w:rPr>
        <w:t>ing across the digital economy.</w:t>
      </w:r>
      <w:r w:rsidRPr="00122AA1">
        <w:rPr>
          <w:rFonts w:ascii="Arial" w:hAnsi="Arial" w:cs="Arial"/>
        </w:rPr>
        <w:t xml:space="preserve"> While some sectors of the economy are now moving to develop trusted identity measures, there is a risk that uncoordinated sector- or industry-specific initiatives will give rise to a plethora of incompatible services</w:t>
      </w:r>
      <w:r w:rsidR="00FF7858" w:rsidRPr="00122AA1">
        <w:rPr>
          <w:rFonts w:ascii="Arial" w:hAnsi="Arial" w:cs="Arial"/>
        </w:rPr>
        <w:t>.</w:t>
      </w:r>
    </w:p>
    <w:p w:rsidR="00B876A8" w:rsidRPr="00122AA1" w:rsidRDefault="00B876A8" w:rsidP="00B876A8">
      <w:pPr>
        <w:rPr>
          <w:rFonts w:ascii="Arial" w:hAnsi="Arial" w:cs="Arial"/>
        </w:rPr>
      </w:pPr>
      <w:r w:rsidRPr="00122AA1">
        <w:rPr>
          <w:rFonts w:ascii="Arial" w:hAnsi="Arial" w:cs="Arial"/>
        </w:rPr>
        <w:t>Interoperability of trusted identities products and services would potentially offer significant benefits</w:t>
      </w:r>
      <w:r w:rsidR="003D31BE" w:rsidRPr="00122AA1">
        <w:rPr>
          <w:rFonts w:ascii="Arial" w:hAnsi="Arial" w:cs="Arial"/>
        </w:rPr>
        <w:t>,</w:t>
      </w:r>
      <w:r w:rsidRPr="00122AA1">
        <w:rPr>
          <w:rFonts w:ascii="Arial" w:hAnsi="Arial" w:cs="Arial"/>
        </w:rPr>
        <w:t xml:space="preserve"> in terms of increased security of online transactions and convenience</w:t>
      </w:r>
      <w:r w:rsidR="003D31BE" w:rsidRPr="00122AA1">
        <w:rPr>
          <w:rFonts w:ascii="Arial" w:hAnsi="Arial" w:cs="Arial"/>
        </w:rPr>
        <w:t>,</w:t>
      </w:r>
      <w:r w:rsidRPr="00122AA1">
        <w:rPr>
          <w:rFonts w:ascii="Arial" w:hAnsi="Arial" w:cs="Arial"/>
        </w:rPr>
        <w:t xml:space="preserve"> by simplifying identity verificatio</w:t>
      </w:r>
      <w:r w:rsidR="00253D8F" w:rsidRPr="00122AA1">
        <w:rPr>
          <w:rFonts w:ascii="Arial" w:hAnsi="Arial" w:cs="Arial"/>
        </w:rPr>
        <w:t>n processes.</w:t>
      </w:r>
      <w:r w:rsidRPr="00122AA1">
        <w:rPr>
          <w:rFonts w:ascii="Arial" w:hAnsi="Arial" w:cs="Arial"/>
        </w:rPr>
        <w:t xml:space="preserve"> Therefore</w:t>
      </w:r>
      <w:r w:rsidR="003D31BE" w:rsidRPr="00122AA1">
        <w:rPr>
          <w:rFonts w:ascii="Arial" w:hAnsi="Arial" w:cs="Arial"/>
        </w:rPr>
        <w:t>,</w:t>
      </w:r>
      <w:r w:rsidRPr="00122AA1">
        <w:rPr>
          <w:rFonts w:ascii="Arial" w:hAnsi="Arial" w:cs="Arial"/>
        </w:rPr>
        <w:t xml:space="preserve"> there may be substantial benefit in formulating a coherent national framework within which trusted identity products</w:t>
      </w:r>
      <w:r w:rsidR="00253D8F" w:rsidRPr="00122AA1">
        <w:rPr>
          <w:rFonts w:ascii="Arial" w:hAnsi="Arial" w:cs="Arial"/>
        </w:rPr>
        <w:t xml:space="preserve"> and services can be developed.</w:t>
      </w:r>
      <w:r w:rsidRPr="00122AA1">
        <w:rPr>
          <w:rFonts w:ascii="Arial" w:hAnsi="Arial" w:cs="Arial"/>
        </w:rPr>
        <w:t xml:space="preserve"> </w:t>
      </w:r>
    </w:p>
    <w:p w:rsidR="00323129" w:rsidRPr="00122AA1" w:rsidRDefault="00323129" w:rsidP="00B876A8">
      <w:pPr>
        <w:rPr>
          <w:rFonts w:ascii="Arial" w:hAnsi="Arial" w:cs="Arial"/>
        </w:rPr>
      </w:pPr>
    </w:p>
    <w:p w:rsidR="00A202EA" w:rsidRPr="00122AA1" w:rsidRDefault="00323129" w:rsidP="00A202EA">
      <w:pPr>
        <w:pStyle w:val="Heading3"/>
        <w:rPr>
          <w:rFonts w:ascii="Arial" w:hAnsi="Arial"/>
        </w:rPr>
      </w:pPr>
      <w:bookmarkStart w:id="42" w:name="_Toc359574775"/>
      <w:r w:rsidRPr="00122AA1">
        <w:rPr>
          <w:rFonts w:ascii="Arial" w:hAnsi="Arial"/>
        </w:rPr>
        <w:t>Whole-of-economy governance and oversight</w:t>
      </w:r>
      <w:bookmarkEnd w:id="42"/>
      <w:r w:rsidRPr="00122AA1">
        <w:rPr>
          <w:rFonts w:ascii="Arial" w:hAnsi="Arial"/>
        </w:rPr>
        <w:t xml:space="preserve"> </w:t>
      </w:r>
    </w:p>
    <w:p w:rsidR="00323129" w:rsidRPr="00122AA1" w:rsidRDefault="00EC2A97" w:rsidP="00B876A8">
      <w:pPr>
        <w:rPr>
          <w:rFonts w:ascii="Arial" w:hAnsi="Arial" w:cs="Arial"/>
        </w:rPr>
      </w:pPr>
      <w:r w:rsidRPr="00122AA1">
        <w:rPr>
          <w:rFonts w:ascii="Arial" w:hAnsi="Arial" w:cs="Arial"/>
        </w:rPr>
        <w:t>Growing pressure on the existing regulatory framework for privacy and personal data protection suggest</w:t>
      </w:r>
      <w:r w:rsidR="00D35E37" w:rsidRPr="00122AA1">
        <w:rPr>
          <w:rFonts w:ascii="Arial" w:hAnsi="Arial" w:cs="Arial"/>
        </w:rPr>
        <w:t>s</w:t>
      </w:r>
      <w:r w:rsidRPr="00122AA1">
        <w:rPr>
          <w:rFonts w:ascii="Arial" w:hAnsi="Arial" w:cs="Arial"/>
        </w:rPr>
        <w:t xml:space="preserve"> that overall governance of the </w:t>
      </w:r>
      <w:r w:rsidR="00D35E37" w:rsidRPr="00122AA1">
        <w:rPr>
          <w:rFonts w:ascii="Arial" w:hAnsi="Arial" w:cs="Arial"/>
        </w:rPr>
        <w:t xml:space="preserve">diverse suite of measures will become increasingly important. Current responsibilities are highly fragmented across different regulatory bodies and levels of government, all of </w:t>
      </w:r>
      <w:r w:rsidR="00161A53" w:rsidRPr="00122AA1">
        <w:rPr>
          <w:rFonts w:ascii="Arial" w:hAnsi="Arial" w:cs="Arial"/>
        </w:rPr>
        <w:t>which</w:t>
      </w:r>
      <w:r w:rsidR="00D35E37" w:rsidRPr="00122AA1">
        <w:rPr>
          <w:rFonts w:ascii="Arial" w:hAnsi="Arial" w:cs="Arial"/>
        </w:rPr>
        <w:t xml:space="preserve"> have legitimate interests maintaining the effectiveness of safeguards they administer. However, these arrangements mean it is sometimes uncertain where responsibility </w:t>
      </w:r>
      <w:r w:rsidR="00595CAC" w:rsidRPr="00122AA1">
        <w:rPr>
          <w:rFonts w:ascii="Arial" w:hAnsi="Arial" w:cs="Arial"/>
        </w:rPr>
        <w:t xml:space="preserve">rests </w:t>
      </w:r>
      <w:r w:rsidR="00D35E37" w:rsidRPr="00122AA1">
        <w:rPr>
          <w:rFonts w:ascii="Arial" w:hAnsi="Arial" w:cs="Arial"/>
        </w:rPr>
        <w:t>for emerging risks</w:t>
      </w:r>
      <w:r w:rsidR="00161A53" w:rsidRPr="00122AA1">
        <w:rPr>
          <w:rFonts w:ascii="Arial" w:hAnsi="Arial" w:cs="Arial"/>
        </w:rPr>
        <w:t>—</w:t>
      </w:r>
      <w:r w:rsidR="00C81508" w:rsidRPr="00122AA1">
        <w:rPr>
          <w:rFonts w:ascii="Arial" w:hAnsi="Arial" w:cs="Arial"/>
        </w:rPr>
        <w:t xml:space="preserve">particularly those associated with the media and communications sector. Emerging privacy concerns associated with technologies such as apps, cloud computing, </w:t>
      </w:r>
      <w:r w:rsidR="00595CAC" w:rsidRPr="00122AA1">
        <w:rPr>
          <w:rFonts w:ascii="Arial" w:hAnsi="Arial" w:cs="Arial"/>
        </w:rPr>
        <w:t xml:space="preserve">and </w:t>
      </w:r>
      <w:r w:rsidR="00C81508" w:rsidRPr="00122AA1">
        <w:rPr>
          <w:rFonts w:ascii="Arial" w:hAnsi="Arial" w:cs="Arial"/>
        </w:rPr>
        <w:t>data analytics cut across the interests and responsibilities of several regulatory bodies</w:t>
      </w:r>
      <w:r w:rsidR="007B223D" w:rsidRPr="00122AA1">
        <w:rPr>
          <w:rFonts w:ascii="Arial" w:hAnsi="Arial" w:cs="Arial"/>
        </w:rPr>
        <w:t xml:space="preserve">. </w:t>
      </w:r>
      <w:r w:rsidR="00EB2176" w:rsidRPr="00122AA1">
        <w:rPr>
          <w:rFonts w:ascii="Arial" w:hAnsi="Arial" w:cs="Arial"/>
        </w:rPr>
        <w:t>This can create uncertainty for determining w</w:t>
      </w:r>
      <w:r w:rsidR="00C81508" w:rsidRPr="00122AA1">
        <w:rPr>
          <w:rFonts w:ascii="Arial" w:hAnsi="Arial" w:cs="Arial"/>
        </w:rPr>
        <w:t xml:space="preserve">here overall responsibility for </w:t>
      </w:r>
      <w:r w:rsidR="007B223D" w:rsidRPr="00122AA1">
        <w:rPr>
          <w:rFonts w:ascii="Arial" w:hAnsi="Arial" w:cs="Arial"/>
        </w:rPr>
        <w:t>privacy outcomes rests in each case</w:t>
      </w:r>
      <w:r w:rsidR="00595CAC" w:rsidRPr="00122AA1">
        <w:rPr>
          <w:rFonts w:ascii="Arial" w:hAnsi="Arial" w:cs="Arial"/>
        </w:rPr>
        <w:t>.</w:t>
      </w:r>
    </w:p>
    <w:p w:rsidR="00DB052E" w:rsidRPr="00122AA1" w:rsidRDefault="00DB052E" w:rsidP="004A1FAC">
      <w:pPr>
        <w:rPr>
          <w:rFonts w:ascii="Arial" w:hAnsi="Arial" w:cs="Arial"/>
        </w:rPr>
      </w:pPr>
    </w:p>
    <w:p w:rsidR="00423B17" w:rsidRPr="00122AA1" w:rsidRDefault="00423B17" w:rsidP="00423B17">
      <w:pPr>
        <w:pStyle w:val="Heading2"/>
        <w:rPr>
          <w:rFonts w:ascii="Arial" w:hAnsi="Arial"/>
        </w:rPr>
      </w:pPr>
      <w:bookmarkStart w:id="43" w:name="_Toc359574776"/>
      <w:r w:rsidRPr="00122AA1">
        <w:rPr>
          <w:rFonts w:ascii="Arial" w:hAnsi="Arial"/>
        </w:rPr>
        <w:t>A coherent strategy is required to manage personal data in the digital environment</w:t>
      </w:r>
      <w:bookmarkEnd w:id="43"/>
    </w:p>
    <w:p w:rsidR="00423B17" w:rsidRPr="00122AA1" w:rsidRDefault="00423B17" w:rsidP="00423B17">
      <w:pPr>
        <w:rPr>
          <w:rFonts w:ascii="Arial" w:hAnsi="Arial" w:cs="Arial"/>
        </w:rPr>
      </w:pPr>
      <w:r w:rsidRPr="00122AA1">
        <w:rPr>
          <w:rFonts w:ascii="Arial" w:hAnsi="Arial" w:cs="Arial"/>
        </w:rPr>
        <w:t>A consequence of th</w:t>
      </w:r>
      <w:r w:rsidR="004547CF" w:rsidRPr="00122AA1">
        <w:rPr>
          <w:rFonts w:ascii="Arial" w:hAnsi="Arial" w:cs="Arial"/>
        </w:rPr>
        <w:t>is</w:t>
      </w:r>
      <w:r w:rsidRPr="00122AA1">
        <w:rPr>
          <w:rFonts w:ascii="Arial" w:hAnsi="Arial" w:cs="Arial"/>
        </w:rPr>
        <w:t xml:space="preserve"> shift to an increasingly networked </w:t>
      </w:r>
      <w:r w:rsidR="004547CF" w:rsidRPr="00122AA1">
        <w:rPr>
          <w:rFonts w:ascii="Arial" w:hAnsi="Arial" w:cs="Arial"/>
        </w:rPr>
        <w:t xml:space="preserve">information </w:t>
      </w:r>
      <w:r w:rsidRPr="00122AA1">
        <w:rPr>
          <w:rFonts w:ascii="Arial" w:hAnsi="Arial" w:cs="Arial"/>
        </w:rPr>
        <w:t>economy is th</w:t>
      </w:r>
      <w:r w:rsidR="004547CF" w:rsidRPr="00122AA1">
        <w:rPr>
          <w:rFonts w:ascii="Arial" w:hAnsi="Arial" w:cs="Arial"/>
        </w:rPr>
        <w:t>e</w:t>
      </w:r>
      <w:r w:rsidRPr="00122AA1">
        <w:rPr>
          <w:rFonts w:ascii="Arial" w:hAnsi="Arial" w:cs="Arial"/>
        </w:rPr>
        <w:t xml:space="preserve"> </w:t>
      </w:r>
      <w:r w:rsidR="004547CF" w:rsidRPr="00122AA1">
        <w:rPr>
          <w:rFonts w:ascii="Arial" w:hAnsi="Arial" w:cs="Arial"/>
        </w:rPr>
        <w:t xml:space="preserve">collection of </w:t>
      </w:r>
      <w:r w:rsidRPr="00122AA1">
        <w:rPr>
          <w:rFonts w:ascii="Arial" w:hAnsi="Arial" w:cs="Arial"/>
        </w:rPr>
        <w:t>personal data by a significant number of organisations</w:t>
      </w:r>
      <w:r w:rsidR="00253D8F" w:rsidRPr="00122AA1">
        <w:rPr>
          <w:rFonts w:ascii="Arial" w:hAnsi="Arial" w:cs="Arial"/>
        </w:rPr>
        <w:t xml:space="preserve"> in a wide variety of contexts.</w:t>
      </w:r>
      <w:r w:rsidRPr="00122AA1">
        <w:rPr>
          <w:rFonts w:ascii="Arial" w:hAnsi="Arial" w:cs="Arial"/>
        </w:rPr>
        <w:t xml:space="preserve"> This is having profound implications for the task of formulating and administering regulatory safeguards that are sufficiently robust, while also being flexible enough to accommodate innovation.</w:t>
      </w:r>
    </w:p>
    <w:p w:rsidR="00423B17" w:rsidRPr="00122AA1" w:rsidRDefault="00423B17" w:rsidP="00423B17">
      <w:pPr>
        <w:rPr>
          <w:rFonts w:ascii="Arial" w:hAnsi="Arial" w:cs="Arial"/>
        </w:rPr>
      </w:pPr>
    </w:p>
    <w:p w:rsidR="00423B17" w:rsidRPr="00122AA1" w:rsidRDefault="00423B17" w:rsidP="00423B17">
      <w:pPr>
        <w:rPr>
          <w:rFonts w:ascii="Arial" w:hAnsi="Arial" w:cs="Arial"/>
        </w:rPr>
      </w:pPr>
      <w:r w:rsidRPr="00122AA1">
        <w:rPr>
          <w:rFonts w:ascii="Arial" w:hAnsi="Arial" w:cs="Arial"/>
        </w:rPr>
        <w:t>Most national regulatory frameworks that deal with privacy and protect</w:t>
      </w:r>
      <w:r w:rsidR="00253D8F" w:rsidRPr="00122AA1">
        <w:rPr>
          <w:rFonts w:ascii="Arial" w:hAnsi="Arial" w:cs="Arial"/>
        </w:rPr>
        <w:t>ion of personal data are now 20 to 30-years-</w:t>
      </w:r>
      <w:r w:rsidRPr="00122AA1">
        <w:rPr>
          <w:rFonts w:ascii="Arial" w:hAnsi="Arial" w:cs="Arial"/>
        </w:rPr>
        <w:t>old</w:t>
      </w:r>
      <w:r w:rsidR="00253D8F" w:rsidRPr="00122AA1">
        <w:rPr>
          <w:rFonts w:ascii="Arial" w:hAnsi="Arial" w:cs="Arial"/>
        </w:rPr>
        <w:t xml:space="preserve">. </w:t>
      </w:r>
      <w:r w:rsidRPr="00122AA1">
        <w:rPr>
          <w:rFonts w:ascii="Arial" w:hAnsi="Arial" w:cs="Arial"/>
        </w:rPr>
        <w:t xml:space="preserve">New issues created by technological and market developments </w:t>
      </w:r>
      <w:proofErr w:type="gramStart"/>
      <w:r w:rsidRPr="00122AA1">
        <w:rPr>
          <w:rFonts w:ascii="Arial" w:hAnsi="Arial" w:cs="Arial"/>
        </w:rPr>
        <w:t>have been accommodated</w:t>
      </w:r>
      <w:proofErr w:type="gramEnd"/>
      <w:r w:rsidRPr="00122AA1">
        <w:rPr>
          <w:rFonts w:ascii="Arial" w:hAnsi="Arial" w:cs="Arial"/>
        </w:rPr>
        <w:t xml:space="preserve"> through a series of incr</w:t>
      </w:r>
      <w:r w:rsidR="00253D8F" w:rsidRPr="00122AA1">
        <w:rPr>
          <w:rFonts w:ascii="Arial" w:hAnsi="Arial" w:cs="Arial"/>
        </w:rPr>
        <w:t xml:space="preserve">emental and piecemeal updates. </w:t>
      </w:r>
    </w:p>
    <w:p w:rsidR="00423B17" w:rsidRPr="00122AA1" w:rsidRDefault="00423B17" w:rsidP="00122AA1">
      <w:pPr>
        <w:pageBreakBefore/>
        <w:spacing w:after="80"/>
        <w:rPr>
          <w:rFonts w:ascii="Arial" w:hAnsi="Arial" w:cs="Arial"/>
        </w:rPr>
      </w:pPr>
      <w:r w:rsidRPr="00122AA1">
        <w:rPr>
          <w:rFonts w:ascii="Arial" w:hAnsi="Arial" w:cs="Arial"/>
        </w:rPr>
        <w:t xml:space="preserve">In its submission to the Australian Law Reform Commission’s 2007 review of the </w:t>
      </w:r>
      <w:r w:rsidR="00EA0914" w:rsidRPr="00122AA1">
        <w:rPr>
          <w:rFonts w:ascii="Arial" w:hAnsi="Arial" w:cs="Arial"/>
        </w:rPr>
        <w:t>Privacy Act</w:t>
      </w:r>
      <w:r w:rsidRPr="00122AA1">
        <w:rPr>
          <w:rFonts w:ascii="Arial" w:hAnsi="Arial" w:cs="Arial"/>
        </w:rPr>
        <w:t>, the ACMA noted the fragmentation of privacy rules across telecommunications and other legislation, and the potential for confusion and anomalies to arise. The issues identified by the ACMA included:</w:t>
      </w:r>
    </w:p>
    <w:p w:rsidR="00423B17" w:rsidRPr="00122AA1" w:rsidRDefault="00423B17" w:rsidP="00423B17">
      <w:pPr>
        <w:pStyle w:val="ListBullet"/>
        <w:rPr>
          <w:rFonts w:ascii="Arial" w:hAnsi="Arial" w:cs="Arial"/>
        </w:rPr>
      </w:pPr>
      <w:r w:rsidRPr="00122AA1">
        <w:rPr>
          <w:rFonts w:ascii="Arial" w:hAnsi="Arial" w:cs="Arial"/>
        </w:rPr>
        <w:t>different obligations relating to the collection, use and disclosure of personal information across the Privacy Act and the Telecommunications Act</w:t>
      </w:r>
    </w:p>
    <w:p w:rsidR="00423B17" w:rsidRPr="00122AA1" w:rsidRDefault="00423B17" w:rsidP="00423B17">
      <w:pPr>
        <w:pStyle w:val="ListBullet"/>
        <w:rPr>
          <w:rFonts w:ascii="Arial" w:hAnsi="Arial" w:cs="Arial"/>
        </w:rPr>
      </w:pPr>
      <w:r w:rsidRPr="00122AA1">
        <w:rPr>
          <w:rFonts w:ascii="Arial" w:hAnsi="Arial" w:cs="Arial"/>
        </w:rPr>
        <w:t xml:space="preserve">different approaches to information disclosures under Part 13 of the Telecommunications Act and provisions of the </w:t>
      </w:r>
      <w:r w:rsidRPr="00122AA1">
        <w:rPr>
          <w:rFonts w:ascii="Arial" w:hAnsi="Arial" w:cs="Arial"/>
          <w:i/>
        </w:rPr>
        <w:t>Telecommunications (Interception and Access) Act 1979</w:t>
      </w:r>
    </w:p>
    <w:p w:rsidR="00423B17" w:rsidRPr="00122AA1" w:rsidRDefault="00423B17" w:rsidP="000A48C5">
      <w:pPr>
        <w:pStyle w:val="ListBullet"/>
        <w:spacing w:after="240"/>
        <w:rPr>
          <w:rFonts w:ascii="Arial" w:hAnsi="Arial" w:cs="Arial"/>
        </w:rPr>
      </w:pPr>
      <w:r w:rsidRPr="00122AA1">
        <w:rPr>
          <w:rFonts w:ascii="Arial" w:hAnsi="Arial" w:cs="Arial"/>
        </w:rPr>
        <w:t xml:space="preserve">fragmentation of telecommunications-related privacy responsibilities between the ACMA, Telecommunications Industry Ombudsman and </w:t>
      </w:r>
      <w:r w:rsidR="00161A53" w:rsidRPr="00122AA1">
        <w:rPr>
          <w:rFonts w:ascii="Arial" w:hAnsi="Arial" w:cs="Arial"/>
        </w:rPr>
        <w:t xml:space="preserve">the </w:t>
      </w:r>
      <w:r w:rsidRPr="00122AA1">
        <w:rPr>
          <w:rFonts w:ascii="Arial" w:hAnsi="Arial" w:cs="Arial"/>
        </w:rPr>
        <w:t>OAIC.</w:t>
      </w:r>
    </w:p>
    <w:p w:rsidR="00423B17" w:rsidRPr="00122AA1" w:rsidRDefault="00245FE2" w:rsidP="00193BC4">
      <w:pPr>
        <w:spacing w:after="240"/>
        <w:rPr>
          <w:rFonts w:ascii="Arial" w:hAnsi="Arial" w:cs="Arial"/>
        </w:rPr>
      </w:pPr>
      <w:r w:rsidRPr="00122AA1">
        <w:rPr>
          <w:rFonts w:ascii="Arial" w:hAnsi="Arial" w:cs="Arial"/>
        </w:rPr>
        <w:t>R</w:t>
      </w:r>
      <w:r w:rsidR="00423B17" w:rsidRPr="00122AA1">
        <w:rPr>
          <w:rFonts w:ascii="Arial" w:hAnsi="Arial" w:cs="Arial"/>
        </w:rPr>
        <w:t>ecent amendments to national privacy frameworks, including changes to Australia’s Privacy Act, go some way to addressing new challenges to the protection of personal data</w:t>
      </w:r>
      <w:r w:rsidRPr="00122AA1">
        <w:rPr>
          <w:rFonts w:ascii="Arial" w:hAnsi="Arial" w:cs="Arial"/>
        </w:rPr>
        <w:t>. However</w:t>
      </w:r>
      <w:r w:rsidR="00423B17" w:rsidRPr="00122AA1">
        <w:rPr>
          <w:rFonts w:ascii="Arial" w:hAnsi="Arial" w:cs="Arial"/>
        </w:rPr>
        <w:t>, the scale of current changes to the personal data environment is such that fresh ap</w:t>
      </w:r>
      <w:r w:rsidR="00253D8F" w:rsidRPr="00122AA1">
        <w:rPr>
          <w:rFonts w:ascii="Arial" w:hAnsi="Arial" w:cs="Arial"/>
        </w:rPr>
        <w:t>proaches need to be considered.</w:t>
      </w:r>
      <w:r w:rsidR="00423B17" w:rsidRPr="00122AA1">
        <w:rPr>
          <w:rFonts w:ascii="Arial" w:hAnsi="Arial" w:cs="Arial"/>
        </w:rPr>
        <w:t xml:space="preserve"> In particular, </w:t>
      </w:r>
      <w:r w:rsidRPr="00122AA1">
        <w:rPr>
          <w:rFonts w:ascii="Arial" w:hAnsi="Arial" w:cs="Arial"/>
        </w:rPr>
        <w:t xml:space="preserve">the </w:t>
      </w:r>
      <w:r w:rsidR="00423B17" w:rsidRPr="00122AA1">
        <w:rPr>
          <w:rFonts w:ascii="Arial" w:hAnsi="Arial" w:cs="Arial"/>
        </w:rPr>
        <w:t xml:space="preserve">scale, diversity and global structure of the personal data ecosystem </w:t>
      </w:r>
      <w:r w:rsidRPr="00122AA1">
        <w:rPr>
          <w:rFonts w:ascii="Arial" w:hAnsi="Arial" w:cs="Arial"/>
        </w:rPr>
        <w:t xml:space="preserve">are </w:t>
      </w:r>
      <w:r w:rsidR="00423B17" w:rsidRPr="00122AA1">
        <w:rPr>
          <w:rFonts w:ascii="Arial" w:hAnsi="Arial" w:cs="Arial"/>
        </w:rPr>
        <w:t>likely to challenge the effectiveness of legislative approaches</w:t>
      </w:r>
      <w:r w:rsidRPr="00122AA1">
        <w:rPr>
          <w:rFonts w:ascii="Arial" w:hAnsi="Arial" w:cs="Arial"/>
        </w:rPr>
        <w:t>. They also</w:t>
      </w:r>
      <w:r w:rsidR="00423B17" w:rsidRPr="00122AA1">
        <w:rPr>
          <w:rFonts w:ascii="Arial" w:hAnsi="Arial" w:cs="Arial"/>
        </w:rPr>
        <w:t xml:space="preserve"> call for non-legislative measures that address the specific contexts in which personal data is being collected.</w:t>
      </w:r>
    </w:p>
    <w:p w:rsidR="005368C0" w:rsidRPr="00122AA1" w:rsidRDefault="004547CF" w:rsidP="006E0C81">
      <w:pPr>
        <w:pStyle w:val="ListBullet"/>
        <w:numPr>
          <w:ilvl w:val="0"/>
          <w:numId w:val="0"/>
        </w:numPr>
        <w:ind w:hanging="11"/>
        <w:rPr>
          <w:rFonts w:ascii="Arial" w:hAnsi="Arial" w:cs="Arial"/>
        </w:rPr>
      </w:pPr>
      <w:r w:rsidRPr="00122AA1">
        <w:rPr>
          <w:rFonts w:ascii="Arial" w:hAnsi="Arial" w:cs="Arial"/>
        </w:rPr>
        <w:t>Consideration of the need or otherwise for future in</w:t>
      </w:r>
      <w:r w:rsidR="005368C0" w:rsidRPr="00122AA1">
        <w:rPr>
          <w:rFonts w:ascii="Arial" w:hAnsi="Arial" w:cs="Arial"/>
        </w:rPr>
        <w:t xml:space="preserve">terventions in this area </w:t>
      </w:r>
      <w:r w:rsidRPr="00122AA1">
        <w:rPr>
          <w:rFonts w:ascii="Arial" w:hAnsi="Arial" w:cs="Arial"/>
        </w:rPr>
        <w:t xml:space="preserve">should continue to balance </w:t>
      </w:r>
      <w:r w:rsidR="005368C0" w:rsidRPr="00122AA1">
        <w:rPr>
          <w:rFonts w:ascii="Arial" w:hAnsi="Arial" w:cs="Arial"/>
        </w:rPr>
        <w:t>a broad range of economic, social and industry policy considerations relevant in the evolving personal information environment</w:t>
      </w:r>
      <w:r w:rsidR="00245FE2" w:rsidRPr="00122AA1">
        <w:rPr>
          <w:rFonts w:ascii="Arial" w:hAnsi="Arial" w:cs="Arial"/>
        </w:rPr>
        <w:t>.</w:t>
      </w:r>
      <w:r w:rsidR="00DB793C" w:rsidRPr="00122AA1">
        <w:rPr>
          <w:rFonts w:ascii="Arial" w:hAnsi="Arial" w:cs="Arial"/>
        </w:rPr>
        <w:t xml:space="preserve"> These </w:t>
      </w:r>
      <w:r w:rsidRPr="00122AA1">
        <w:rPr>
          <w:rFonts w:ascii="Arial" w:hAnsi="Arial" w:cs="Arial"/>
        </w:rPr>
        <w:t>includ</w:t>
      </w:r>
      <w:r w:rsidR="00DB793C" w:rsidRPr="00122AA1">
        <w:rPr>
          <w:rFonts w:ascii="Arial" w:hAnsi="Arial" w:cs="Arial"/>
        </w:rPr>
        <w:t>e</w:t>
      </w:r>
      <w:r w:rsidR="005368C0" w:rsidRPr="00122AA1">
        <w:rPr>
          <w:rFonts w:ascii="Arial" w:hAnsi="Arial" w:cs="Arial"/>
        </w:rPr>
        <w:t>:</w:t>
      </w:r>
    </w:p>
    <w:p w:rsidR="005368C0" w:rsidRPr="00122AA1" w:rsidRDefault="005368C0" w:rsidP="006E0C81">
      <w:pPr>
        <w:pStyle w:val="ListBullet"/>
        <w:rPr>
          <w:rFonts w:ascii="Arial" w:hAnsi="Arial" w:cs="Arial"/>
        </w:rPr>
      </w:pPr>
      <w:r w:rsidRPr="00122AA1">
        <w:rPr>
          <w:rFonts w:ascii="Arial" w:hAnsi="Arial" w:cs="Arial"/>
          <w:b/>
        </w:rPr>
        <w:t>Market standards</w:t>
      </w:r>
      <w:r w:rsidR="00EA0914" w:rsidRPr="00122AA1">
        <w:rPr>
          <w:rFonts w:ascii="Arial" w:hAnsi="Arial" w:cs="Arial"/>
        </w:rPr>
        <w:t>—</w:t>
      </w:r>
      <w:r w:rsidRPr="00122AA1">
        <w:rPr>
          <w:rFonts w:ascii="Arial" w:hAnsi="Arial" w:cs="Arial"/>
        </w:rPr>
        <w:t>Of particular relevance to the personal data environment is the desirability of competitive markets, which can be achieved in part by measures which facilitate data portability and interoperability</w:t>
      </w:r>
      <w:r w:rsidR="00253D8F" w:rsidRPr="00122AA1">
        <w:rPr>
          <w:rFonts w:ascii="Arial" w:hAnsi="Arial" w:cs="Arial"/>
        </w:rPr>
        <w:t xml:space="preserve"> between services and systems. </w:t>
      </w:r>
      <w:r w:rsidRPr="00122AA1">
        <w:rPr>
          <w:rFonts w:ascii="Arial" w:hAnsi="Arial" w:cs="Arial"/>
        </w:rPr>
        <w:t>Citizens also require access to effective redress mechanisms to address market behaviour that do</w:t>
      </w:r>
      <w:r w:rsidR="00DB793C" w:rsidRPr="00122AA1">
        <w:rPr>
          <w:rFonts w:ascii="Arial" w:hAnsi="Arial" w:cs="Arial"/>
        </w:rPr>
        <w:t>es</w:t>
      </w:r>
      <w:r w:rsidRPr="00122AA1">
        <w:rPr>
          <w:rFonts w:ascii="Arial" w:hAnsi="Arial" w:cs="Arial"/>
        </w:rPr>
        <w:t xml:space="preserve"> not </w:t>
      </w:r>
      <w:r w:rsidR="00253D8F" w:rsidRPr="00122AA1">
        <w:rPr>
          <w:rFonts w:ascii="Arial" w:hAnsi="Arial" w:cs="Arial"/>
        </w:rPr>
        <w:t>align with community standards.</w:t>
      </w:r>
      <w:r w:rsidRPr="00122AA1">
        <w:rPr>
          <w:rFonts w:ascii="Arial" w:hAnsi="Arial" w:cs="Arial"/>
        </w:rPr>
        <w:t xml:space="preserve"> </w:t>
      </w:r>
    </w:p>
    <w:p w:rsidR="005368C0" w:rsidRPr="00122AA1" w:rsidRDefault="005368C0" w:rsidP="005368C0">
      <w:pPr>
        <w:pStyle w:val="ListBullet"/>
        <w:rPr>
          <w:rFonts w:ascii="Arial" w:hAnsi="Arial" w:cs="Arial"/>
        </w:rPr>
      </w:pPr>
      <w:r w:rsidRPr="00122AA1">
        <w:rPr>
          <w:rFonts w:ascii="Arial" w:hAnsi="Arial" w:cs="Arial"/>
          <w:b/>
        </w:rPr>
        <w:t>Social and economic participation</w:t>
      </w:r>
      <w:r w:rsidR="008744F6" w:rsidRPr="00122AA1">
        <w:rPr>
          <w:rFonts w:ascii="Arial" w:hAnsi="Arial" w:cs="Arial"/>
        </w:rPr>
        <w:t>—</w:t>
      </w:r>
      <w:r w:rsidRPr="00122AA1">
        <w:rPr>
          <w:rFonts w:ascii="Arial" w:hAnsi="Arial" w:cs="Arial"/>
        </w:rPr>
        <w:t xml:space="preserve">A prerequisite for participation </w:t>
      </w:r>
      <w:r w:rsidR="006C4730" w:rsidRPr="00122AA1">
        <w:rPr>
          <w:rFonts w:ascii="Arial" w:hAnsi="Arial" w:cs="Arial"/>
        </w:rPr>
        <w:t xml:space="preserve">in an information economy </w:t>
      </w:r>
      <w:r w:rsidRPr="00122AA1">
        <w:rPr>
          <w:rFonts w:ascii="Arial" w:hAnsi="Arial" w:cs="Arial"/>
        </w:rPr>
        <w:t xml:space="preserve">is that individuals and organisations have certainty and confidence about their rights and obligations </w:t>
      </w:r>
      <w:r w:rsidR="00DB793C" w:rsidRPr="00122AA1">
        <w:rPr>
          <w:rFonts w:ascii="Arial" w:hAnsi="Arial" w:cs="Arial"/>
        </w:rPr>
        <w:t>regarding</w:t>
      </w:r>
      <w:r w:rsidRPr="00122AA1">
        <w:rPr>
          <w:rFonts w:ascii="Arial" w:hAnsi="Arial" w:cs="Arial"/>
        </w:rPr>
        <w:t xml:space="preserve"> privacy</w:t>
      </w:r>
      <w:r w:rsidR="00DB793C" w:rsidRPr="00122AA1">
        <w:rPr>
          <w:rFonts w:ascii="Arial" w:hAnsi="Arial" w:cs="Arial"/>
        </w:rPr>
        <w:t>,</w:t>
      </w:r>
      <w:r w:rsidRPr="00122AA1">
        <w:rPr>
          <w:rFonts w:ascii="Arial" w:hAnsi="Arial" w:cs="Arial"/>
        </w:rPr>
        <w:t xml:space="preserve"> pe</w:t>
      </w:r>
      <w:r w:rsidR="00253D8F" w:rsidRPr="00122AA1">
        <w:rPr>
          <w:rFonts w:ascii="Arial" w:hAnsi="Arial" w:cs="Arial"/>
        </w:rPr>
        <w:t>rsonal data, and other matters.</w:t>
      </w:r>
      <w:r w:rsidRPr="00122AA1">
        <w:rPr>
          <w:rFonts w:ascii="Arial" w:hAnsi="Arial" w:cs="Arial"/>
        </w:rPr>
        <w:t xml:space="preserve"> Individuals and organisations also require the skills, knowledge and behaviour </w:t>
      </w:r>
      <w:r w:rsidR="00DB793C" w:rsidRPr="00122AA1">
        <w:rPr>
          <w:rFonts w:ascii="Arial" w:hAnsi="Arial" w:cs="Arial"/>
        </w:rPr>
        <w:t xml:space="preserve">to </w:t>
      </w:r>
      <w:r w:rsidRPr="00122AA1">
        <w:rPr>
          <w:rFonts w:ascii="Arial" w:hAnsi="Arial" w:cs="Arial"/>
        </w:rPr>
        <w:t>enable them to engage e</w:t>
      </w:r>
      <w:r w:rsidR="00253D8F" w:rsidRPr="00122AA1">
        <w:rPr>
          <w:rFonts w:ascii="Arial" w:hAnsi="Arial" w:cs="Arial"/>
        </w:rPr>
        <w:t>ffectively as digital citizens.</w:t>
      </w:r>
      <w:r w:rsidRPr="00122AA1">
        <w:rPr>
          <w:rFonts w:ascii="Arial" w:hAnsi="Arial" w:cs="Arial"/>
        </w:rPr>
        <w:t xml:space="preserve"> This includes </w:t>
      </w:r>
      <w:r w:rsidR="00DB793C" w:rsidRPr="00122AA1">
        <w:rPr>
          <w:rFonts w:ascii="Arial" w:hAnsi="Arial" w:cs="Arial"/>
        </w:rPr>
        <w:t>them</w:t>
      </w:r>
      <w:r w:rsidRPr="00122AA1">
        <w:rPr>
          <w:rFonts w:ascii="Arial" w:hAnsi="Arial" w:cs="Arial"/>
        </w:rPr>
        <w:t xml:space="preserve"> </w:t>
      </w:r>
      <w:r w:rsidR="00DB793C" w:rsidRPr="00122AA1">
        <w:rPr>
          <w:rFonts w:ascii="Arial" w:hAnsi="Arial" w:cs="Arial"/>
        </w:rPr>
        <w:t xml:space="preserve">being </w:t>
      </w:r>
      <w:r w:rsidRPr="00122AA1">
        <w:rPr>
          <w:rFonts w:ascii="Arial" w:hAnsi="Arial" w:cs="Arial"/>
        </w:rPr>
        <w:t>high</w:t>
      </w:r>
      <w:r w:rsidR="00DB793C" w:rsidRPr="00122AA1">
        <w:rPr>
          <w:rFonts w:ascii="Arial" w:hAnsi="Arial" w:cs="Arial"/>
        </w:rPr>
        <w:t>ly</w:t>
      </w:r>
      <w:r w:rsidRPr="00122AA1">
        <w:rPr>
          <w:rFonts w:ascii="Arial" w:hAnsi="Arial" w:cs="Arial"/>
        </w:rPr>
        <w:t xml:space="preserve"> proficien</w:t>
      </w:r>
      <w:r w:rsidR="00DB793C" w:rsidRPr="00122AA1">
        <w:rPr>
          <w:rFonts w:ascii="Arial" w:hAnsi="Arial" w:cs="Arial"/>
        </w:rPr>
        <w:t>t</w:t>
      </w:r>
      <w:r w:rsidRPr="00122AA1">
        <w:rPr>
          <w:rFonts w:ascii="Arial" w:hAnsi="Arial" w:cs="Arial"/>
        </w:rPr>
        <w:t xml:space="preserve"> in managing digital identities and digital footprints.</w:t>
      </w:r>
    </w:p>
    <w:p w:rsidR="005368C0" w:rsidRPr="00122AA1" w:rsidRDefault="00EA0914" w:rsidP="006E0C81">
      <w:pPr>
        <w:pStyle w:val="ListBullet"/>
        <w:spacing w:after="240"/>
        <w:rPr>
          <w:rFonts w:ascii="Arial" w:hAnsi="Arial" w:cs="Arial"/>
        </w:rPr>
      </w:pPr>
      <w:r w:rsidRPr="00122AA1">
        <w:rPr>
          <w:rFonts w:ascii="Arial" w:hAnsi="Arial" w:cs="Arial"/>
          <w:b/>
        </w:rPr>
        <w:t>Safeguards</w:t>
      </w:r>
      <w:r w:rsidRPr="00122AA1">
        <w:rPr>
          <w:rFonts w:ascii="Arial" w:hAnsi="Arial" w:cs="Arial"/>
        </w:rPr>
        <w:t>—</w:t>
      </w:r>
      <w:r w:rsidR="00DA26A5" w:rsidRPr="00122AA1">
        <w:rPr>
          <w:rFonts w:ascii="Arial" w:hAnsi="Arial" w:cs="Arial"/>
        </w:rPr>
        <w:t xml:space="preserve">These are designed </w:t>
      </w:r>
      <w:r w:rsidR="006F4E60" w:rsidRPr="00122AA1">
        <w:rPr>
          <w:rFonts w:ascii="Arial" w:hAnsi="Arial" w:cs="Arial"/>
        </w:rPr>
        <w:t xml:space="preserve">to protect against </w:t>
      </w:r>
      <w:r w:rsidR="005368C0" w:rsidRPr="00122AA1">
        <w:rPr>
          <w:rFonts w:ascii="Arial" w:hAnsi="Arial" w:cs="Arial"/>
        </w:rPr>
        <w:t xml:space="preserve">individual harm and </w:t>
      </w:r>
      <w:r w:rsidR="006F4E60" w:rsidRPr="00122AA1">
        <w:rPr>
          <w:rFonts w:ascii="Arial" w:hAnsi="Arial" w:cs="Arial"/>
        </w:rPr>
        <w:t xml:space="preserve">support </w:t>
      </w:r>
      <w:r w:rsidR="005368C0" w:rsidRPr="00122AA1">
        <w:rPr>
          <w:rFonts w:ascii="Arial" w:hAnsi="Arial" w:cs="Arial"/>
        </w:rPr>
        <w:t>national interes</w:t>
      </w:r>
      <w:r w:rsidR="00253D8F" w:rsidRPr="00122AA1">
        <w:rPr>
          <w:rFonts w:ascii="Arial" w:hAnsi="Arial" w:cs="Arial"/>
        </w:rPr>
        <w:t>t</w:t>
      </w:r>
      <w:r w:rsidR="006F4E60" w:rsidRPr="00122AA1">
        <w:rPr>
          <w:rFonts w:ascii="Arial" w:hAnsi="Arial" w:cs="Arial"/>
        </w:rPr>
        <w:t xml:space="preserve"> protections.</w:t>
      </w:r>
      <w:r w:rsidR="005368C0" w:rsidRPr="00122AA1">
        <w:rPr>
          <w:rFonts w:ascii="Arial" w:hAnsi="Arial" w:cs="Arial"/>
        </w:rPr>
        <w:t xml:space="preserve"> One objective of privacy safeguards is the pro</w:t>
      </w:r>
      <w:r w:rsidR="00381D8A" w:rsidRPr="00122AA1">
        <w:rPr>
          <w:rFonts w:ascii="Arial" w:hAnsi="Arial" w:cs="Arial"/>
        </w:rPr>
        <w:t>tection of citizens from harm—</w:t>
      </w:r>
      <w:r w:rsidR="005368C0" w:rsidRPr="00122AA1">
        <w:rPr>
          <w:rFonts w:ascii="Arial" w:hAnsi="Arial" w:cs="Arial"/>
        </w:rPr>
        <w:t>in the form of financial loss or</w:t>
      </w:r>
      <w:r w:rsidR="00381D8A" w:rsidRPr="00122AA1">
        <w:rPr>
          <w:rFonts w:ascii="Arial" w:hAnsi="Arial" w:cs="Arial"/>
        </w:rPr>
        <w:t xml:space="preserve"> other adverse consequences—</w:t>
      </w:r>
      <w:r w:rsidR="005368C0" w:rsidRPr="00122AA1">
        <w:rPr>
          <w:rFonts w:ascii="Arial" w:hAnsi="Arial" w:cs="Arial"/>
        </w:rPr>
        <w:t>that may flow from unauthorised disclosure</w:t>
      </w:r>
      <w:r w:rsidR="00253D8F" w:rsidRPr="00122AA1">
        <w:rPr>
          <w:rFonts w:ascii="Arial" w:hAnsi="Arial" w:cs="Arial"/>
        </w:rPr>
        <w:t xml:space="preserve"> of their personal information.</w:t>
      </w:r>
      <w:r w:rsidR="005368C0" w:rsidRPr="00122AA1">
        <w:rPr>
          <w:rFonts w:ascii="Arial" w:hAnsi="Arial" w:cs="Arial"/>
        </w:rPr>
        <w:t xml:space="preserve"> Digital identity and personal data are </w:t>
      </w:r>
      <w:r w:rsidR="006C4730" w:rsidRPr="00122AA1">
        <w:rPr>
          <w:rFonts w:ascii="Arial" w:hAnsi="Arial" w:cs="Arial"/>
        </w:rPr>
        <w:t xml:space="preserve">also </w:t>
      </w:r>
      <w:r w:rsidR="005368C0" w:rsidRPr="00122AA1">
        <w:rPr>
          <w:rFonts w:ascii="Arial" w:hAnsi="Arial" w:cs="Arial"/>
        </w:rPr>
        <w:t xml:space="preserve">central to measures which allow citizens to be identified and located in emergencies, and for them to be informed about how to protect themselves in these situations. Law enforcement and national security organisations have relied on the ability to intercept and monitor communications in the course of investigating </w:t>
      </w:r>
      <w:r w:rsidR="00253D8F" w:rsidRPr="00122AA1">
        <w:rPr>
          <w:rFonts w:ascii="Arial" w:hAnsi="Arial" w:cs="Arial"/>
        </w:rPr>
        <w:t>potentially criminal behaviour.</w:t>
      </w:r>
      <w:r w:rsidR="005368C0" w:rsidRPr="00122AA1">
        <w:rPr>
          <w:rFonts w:ascii="Arial" w:hAnsi="Arial" w:cs="Arial"/>
        </w:rPr>
        <w:t xml:space="preserve"> </w:t>
      </w:r>
    </w:p>
    <w:p w:rsidR="005368C0" w:rsidRPr="00122AA1" w:rsidRDefault="005368C0" w:rsidP="001779E5">
      <w:pPr>
        <w:rPr>
          <w:rFonts w:ascii="Arial" w:hAnsi="Arial" w:cs="Arial"/>
        </w:rPr>
      </w:pPr>
      <w:r w:rsidRPr="00122AA1">
        <w:rPr>
          <w:rFonts w:ascii="Arial" w:hAnsi="Arial" w:cs="Arial"/>
        </w:rPr>
        <w:t xml:space="preserve">These ongoing public interest </w:t>
      </w:r>
      <w:r w:rsidR="002F6338" w:rsidRPr="00122AA1">
        <w:rPr>
          <w:rFonts w:ascii="Arial" w:hAnsi="Arial" w:cs="Arial"/>
        </w:rPr>
        <w:t xml:space="preserve">considerations </w:t>
      </w:r>
      <w:r w:rsidRPr="00122AA1">
        <w:rPr>
          <w:rFonts w:ascii="Arial" w:hAnsi="Arial" w:cs="Arial"/>
        </w:rPr>
        <w:t xml:space="preserve">can inform discussion about the need, or not, for intervention in personal data environment. </w:t>
      </w:r>
      <w:r w:rsidR="002F6338" w:rsidRPr="00122AA1">
        <w:rPr>
          <w:rFonts w:ascii="Arial" w:hAnsi="Arial" w:cs="Arial"/>
        </w:rPr>
        <w:t>The network layers model provides a useful framework for considering the points at which privacy and p</w:t>
      </w:r>
      <w:r w:rsidR="00253D8F" w:rsidRPr="00122AA1">
        <w:rPr>
          <w:rFonts w:ascii="Arial" w:hAnsi="Arial" w:cs="Arial"/>
        </w:rPr>
        <w:t xml:space="preserve">ersonal data issues may arise. </w:t>
      </w:r>
      <w:r w:rsidR="002F6338" w:rsidRPr="00122AA1">
        <w:rPr>
          <w:rFonts w:ascii="Arial" w:hAnsi="Arial" w:cs="Arial"/>
        </w:rPr>
        <w:t>Figure</w:t>
      </w:r>
      <w:r w:rsidR="00CC49C5" w:rsidRPr="00122AA1">
        <w:rPr>
          <w:rFonts w:ascii="Arial" w:hAnsi="Arial" w:cs="Arial"/>
        </w:rPr>
        <w:t xml:space="preserve"> </w:t>
      </w:r>
      <w:r w:rsidR="00380415" w:rsidRPr="00122AA1">
        <w:rPr>
          <w:rFonts w:ascii="Arial" w:hAnsi="Arial" w:cs="Arial"/>
        </w:rPr>
        <w:t>11</w:t>
      </w:r>
      <w:r w:rsidR="002F6338" w:rsidRPr="00122AA1">
        <w:rPr>
          <w:rFonts w:ascii="Arial" w:hAnsi="Arial" w:cs="Arial"/>
        </w:rPr>
        <w:t xml:space="preserve"> </w:t>
      </w:r>
      <w:r w:rsidR="00DB793C" w:rsidRPr="00122AA1">
        <w:rPr>
          <w:rFonts w:ascii="Arial" w:hAnsi="Arial" w:cs="Arial"/>
        </w:rPr>
        <w:t xml:space="preserve">is </w:t>
      </w:r>
      <w:r w:rsidR="002F6338" w:rsidRPr="00122AA1">
        <w:rPr>
          <w:rFonts w:ascii="Arial" w:hAnsi="Arial" w:cs="Arial"/>
        </w:rPr>
        <w:t>an indicative illustration of the network layers in which particular public interest considerations may need to be addressed.</w:t>
      </w:r>
    </w:p>
    <w:p w:rsidR="001779E5" w:rsidRPr="00122AA1" w:rsidRDefault="001779E5" w:rsidP="001779E5">
      <w:pPr>
        <w:rPr>
          <w:rFonts w:ascii="Arial" w:hAnsi="Arial" w:cs="Arial"/>
        </w:rPr>
      </w:pPr>
    </w:p>
    <w:tbl>
      <w:tblPr>
        <w:tblW w:w="9645" w:type="dxa"/>
        <w:tblLayout w:type="fixed"/>
        <w:tblCellMar>
          <w:left w:w="0" w:type="dxa"/>
          <w:right w:w="0" w:type="dxa"/>
        </w:tblCellMar>
        <w:tblLook w:val="01E0"/>
      </w:tblPr>
      <w:tblGrid>
        <w:gridCol w:w="9645"/>
      </w:tblGrid>
      <w:tr w:rsidR="001779E5" w:rsidRPr="00122AA1">
        <w:trPr>
          <w:trHeight w:val="570"/>
        </w:trPr>
        <w:tc>
          <w:tcPr>
            <w:tcW w:w="9645" w:type="dxa"/>
            <w:tcBorders>
              <w:top w:val="single" w:sz="2" w:space="0" w:color="505050"/>
            </w:tcBorders>
            <w:shd w:val="clear" w:color="auto" w:fill="auto"/>
            <w:vAlign w:val="center"/>
          </w:tcPr>
          <w:p w:rsidR="001779E5" w:rsidRPr="00122AA1" w:rsidRDefault="001779E5" w:rsidP="00122AA1">
            <w:pPr>
              <w:pStyle w:val="Caption"/>
              <w:keepNext/>
              <w:rPr>
                <w:rFonts w:ascii="Arial" w:hAnsi="Arial" w:cs="Arial"/>
              </w:rPr>
            </w:pPr>
            <w:r w:rsidRPr="00122AA1">
              <w:rPr>
                <w:rFonts w:ascii="Arial" w:hAnsi="Arial" w:cs="Arial"/>
              </w:rPr>
              <w:t xml:space="preserve">Figure </w:t>
            </w:r>
            <w:r w:rsidR="00302C7D" w:rsidRPr="00122AA1">
              <w:rPr>
                <w:rFonts w:ascii="Arial" w:hAnsi="Arial" w:cs="Arial"/>
              </w:rPr>
              <w:fldChar w:fldCharType="begin"/>
            </w:r>
            <w:r w:rsidRPr="00122AA1">
              <w:rPr>
                <w:rFonts w:ascii="Arial" w:hAnsi="Arial" w:cs="Arial"/>
              </w:rPr>
              <w:instrText xml:space="preserve"> SEQ Figure \* ARABIC </w:instrText>
            </w:r>
            <w:r w:rsidR="00302C7D" w:rsidRPr="00122AA1">
              <w:rPr>
                <w:rFonts w:ascii="Arial" w:hAnsi="Arial" w:cs="Arial"/>
              </w:rPr>
              <w:fldChar w:fldCharType="separate"/>
            </w:r>
            <w:r w:rsidR="008E6D33">
              <w:rPr>
                <w:rFonts w:ascii="Arial" w:hAnsi="Arial" w:cs="Arial"/>
                <w:noProof/>
              </w:rPr>
              <w:t>11</w:t>
            </w:r>
            <w:r w:rsidR="00302C7D" w:rsidRPr="00122AA1">
              <w:rPr>
                <w:rFonts w:ascii="Arial" w:hAnsi="Arial" w:cs="Arial"/>
              </w:rPr>
              <w:fldChar w:fldCharType="end"/>
            </w:r>
            <w:r w:rsidRPr="00122AA1">
              <w:rPr>
                <w:rFonts w:ascii="Arial" w:hAnsi="Arial" w:cs="Arial"/>
              </w:rPr>
              <w:t xml:space="preserve"> Public interest outcomes in the personal data environment</w:t>
            </w:r>
          </w:p>
        </w:tc>
      </w:tr>
      <w:tr w:rsidR="001779E5" w:rsidRPr="00122AA1">
        <w:trPr>
          <w:trHeight w:val="3086"/>
        </w:trPr>
        <w:tc>
          <w:tcPr>
            <w:tcW w:w="9645" w:type="dxa"/>
            <w:shd w:val="clear" w:color="auto" w:fill="auto"/>
            <w:tcMar>
              <w:left w:w="28" w:type="dxa"/>
            </w:tcMar>
          </w:tcPr>
          <w:p w:rsidR="001779E5" w:rsidRPr="00122AA1" w:rsidRDefault="001779E5">
            <w:pPr>
              <w:rPr>
                <w:rFonts w:ascii="Arial" w:hAnsi="Arial" w:cs="Arial"/>
              </w:rPr>
            </w:pPr>
            <w:r w:rsidRPr="00122AA1">
              <w:rPr>
                <w:rFonts w:ascii="Arial" w:hAnsi="Arial" w:cs="Arial"/>
                <w:noProof/>
              </w:rPr>
              <w:drawing>
                <wp:inline distT="0" distB="0" distL="0" distR="0">
                  <wp:extent cx="5382436" cy="2162176"/>
                  <wp:effectExtent l="19050" t="0" r="8714" b="0"/>
                  <wp:docPr id="21"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34" cstate="print"/>
                          <a:srcRect/>
                          <a:stretch>
                            <a:fillRect/>
                          </a:stretch>
                        </pic:blipFill>
                        <pic:spPr bwMode="auto">
                          <a:xfrm>
                            <a:off x="0" y="0"/>
                            <a:ext cx="5393837" cy="2166756"/>
                          </a:xfrm>
                          <a:prstGeom prst="rect">
                            <a:avLst/>
                          </a:prstGeom>
                          <a:noFill/>
                          <a:ln w="9525">
                            <a:noFill/>
                            <a:miter lim="800000"/>
                            <a:headEnd/>
                            <a:tailEnd/>
                          </a:ln>
                        </pic:spPr>
                      </pic:pic>
                    </a:graphicData>
                  </a:graphic>
                </wp:inline>
              </w:drawing>
            </w:r>
          </w:p>
        </w:tc>
      </w:tr>
      <w:tr w:rsidR="001779E5" w:rsidRPr="00122AA1">
        <w:trPr>
          <w:trHeight w:val="291"/>
        </w:trPr>
        <w:tc>
          <w:tcPr>
            <w:tcW w:w="9645" w:type="dxa"/>
            <w:tcBorders>
              <w:bottom w:val="single" w:sz="2" w:space="0" w:color="505050"/>
            </w:tcBorders>
            <w:shd w:val="clear" w:color="auto" w:fill="auto"/>
          </w:tcPr>
          <w:p w:rsidR="001779E5" w:rsidRPr="00122AA1" w:rsidRDefault="001779E5">
            <w:pPr>
              <w:rPr>
                <w:rFonts w:ascii="Arial" w:hAnsi="Arial" w:cs="Arial"/>
              </w:rPr>
            </w:pPr>
          </w:p>
        </w:tc>
      </w:tr>
    </w:tbl>
    <w:p w:rsidR="005368C0" w:rsidRPr="00122AA1" w:rsidRDefault="005368C0" w:rsidP="001779E5">
      <w:pPr>
        <w:rPr>
          <w:rFonts w:ascii="Arial" w:hAnsi="Arial" w:cs="Arial"/>
        </w:rPr>
      </w:pPr>
    </w:p>
    <w:p w:rsidR="00DB052E" w:rsidRPr="00122AA1" w:rsidRDefault="00423B17" w:rsidP="00423B17">
      <w:pPr>
        <w:rPr>
          <w:rFonts w:ascii="Arial" w:hAnsi="Arial" w:cs="Arial"/>
        </w:rPr>
      </w:pPr>
      <w:r w:rsidRPr="00122AA1">
        <w:rPr>
          <w:rFonts w:ascii="Arial" w:hAnsi="Arial" w:cs="Arial"/>
        </w:rPr>
        <w:t xml:space="preserve">While it is likely that a mix of interventions will continue to be required, the nature and scope of these may need to change to address the specific and changing circumstances </w:t>
      </w:r>
      <w:r w:rsidR="00253D8F" w:rsidRPr="00122AA1">
        <w:rPr>
          <w:rFonts w:ascii="Arial" w:hAnsi="Arial" w:cs="Arial"/>
        </w:rPr>
        <w:t xml:space="preserve">of a networked </w:t>
      </w:r>
      <w:r w:rsidR="00403BCD" w:rsidRPr="00122AA1">
        <w:rPr>
          <w:rFonts w:ascii="Arial" w:hAnsi="Arial" w:cs="Arial"/>
        </w:rPr>
        <w:t>information</w:t>
      </w:r>
      <w:r w:rsidR="00253D8F" w:rsidRPr="00122AA1">
        <w:rPr>
          <w:rFonts w:ascii="Arial" w:hAnsi="Arial" w:cs="Arial"/>
        </w:rPr>
        <w:t xml:space="preserve"> economy.</w:t>
      </w:r>
      <w:r w:rsidRPr="00122AA1">
        <w:rPr>
          <w:rFonts w:ascii="Arial" w:hAnsi="Arial" w:cs="Arial"/>
        </w:rPr>
        <w:t xml:space="preserve"> </w:t>
      </w:r>
    </w:p>
    <w:p w:rsidR="007C0626" w:rsidRPr="00122AA1" w:rsidRDefault="007C0626" w:rsidP="00423B17">
      <w:pPr>
        <w:rPr>
          <w:rFonts w:ascii="Arial" w:hAnsi="Arial" w:cs="Arial"/>
        </w:rPr>
      </w:pPr>
    </w:p>
    <w:p w:rsidR="00403BCD" w:rsidRPr="00122AA1" w:rsidRDefault="007C0626" w:rsidP="00403BCD">
      <w:pPr>
        <w:rPr>
          <w:rFonts w:ascii="Arial" w:hAnsi="Arial" w:cs="Arial"/>
        </w:rPr>
      </w:pPr>
      <w:r w:rsidRPr="00122AA1">
        <w:rPr>
          <w:rFonts w:ascii="Arial" w:hAnsi="Arial" w:cs="Arial"/>
        </w:rPr>
        <w:t xml:space="preserve">The ALRC’s </w:t>
      </w:r>
      <w:r w:rsidR="003E7BBC" w:rsidRPr="00122AA1">
        <w:rPr>
          <w:rFonts w:ascii="Arial" w:hAnsi="Arial" w:cs="Arial"/>
        </w:rPr>
        <w:t xml:space="preserve">forthcoming </w:t>
      </w:r>
      <w:r w:rsidRPr="00122AA1">
        <w:rPr>
          <w:rFonts w:ascii="Arial" w:hAnsi="Arial" w:cs="Arial"/>
        </w:rPr>
        <w:t xml:space="preserve">inquiry </w:t>
      </w:r>
      <w:r w:rsidR="003E7BBC" w:rsidRPr="00122AA1">
        <w:rPr>
          <w:rFonts w:ascii="Arial" w:hAnsi="Arial" w:cs="Arial"/>
        </w:rPr>
        <w:t xml:space="preserve">into privacy safeguards for the digital economy </w:t>
      </w:r>
      <w:r w:rsidRPr="00122AA1">
        <w:rPr>
          <w:rFonts w:ascii="Arial" w:hAnsi="Arial" w:cs="Arial"/>
        </w:rPr>
        <w:t>will need to consider the range of economy-wide and sector-specific safeguards</w:t>
      </w:r>
      <w:r w:rsidR="00595CAC" w:rsidRPr="00122AA1">
        <w:rPr>
          <w:rFonts w:ascii="Arial" w:hAnsi="Arial" w:cs="Arial"/>
        </w:rPr>
        <w:t>,</w:t>
      </w:r>
      <w:r w:rsidRPr="00122AA1">
        <w:rPr>
          <w:rFonts w:ascii="Arial" w:hAnsi="Arial" w:cs="Arial"/>
        </w:rPr>
        <w:t xml:space="preserve"> which comprise Australia’s</w:t>
      </w:r>
      <w:r w:rsidR="00CE4F23" w:rsidRPr="00122AA1">
        <w:rPr>
          <w:rFonts w:ascii="Arial" w:hAnsi="Arial" w:cs="Arial"/>
        </w:rPr>
        <w:t xml:space="preserve"> privacy regulatory framework. </w:t>
      </w:r>
      <w:r w:rsidRPr="00122AA1">
        <w:rPr>
          <w:rFonts w:ascii="Arial" w:hAnsi="Arial" w:cs="Arial"/>
        </w:rPr>
        <w:t>The suite of media and communications privacy measures administered by the ACMA are a significan</w:t>
      </w:r>
      <w:r w:rsidR="00CE4F23" w:rsidRPr="00122AA1">
        <w:rPr>
          <w:rFonts w:ascii="Arial" w:hAnsi="Arial" w:cs="Arial"/>
        </w:rPr>
        <w:t xml:space="preserve">t component of this framework. </w:t>
      </w:r>
      <w:r w:rsidRPr="00122AA1">
        <w:rPr>
          <w:rFonts w:ascii="Arial" w:hAnsi="Arial" w:cs="Arial"/>
        </w:rPr>
        <w:t xml:space="preserve">The inquiry should inform development of a coherent regulatory framework in which solutions can be tailored to address specific privacy risks. </w:t>
      </w:r>
      <w:r w:rsidR="00403BCD" w:rsidRPr="00122AA1">
        <w:rPr>
          <w:rFonts w:ascii="Arial" w:hAnsi="Arial" w:cs="Arial"/>
        </w:rPr>
        <w:t>Among other things, such a framework could reflect the evolving definition of personal data. This definition could reflect the broadening role of personal information in an information economy and the breadth of citizens’ concerns and attitudes about the handling of their personal information in the modern information economy.</w:t>
      </w:r>
    </w:p>
    <w:p w:rsidR="007C0626" w:rsidRPr="00122AA1" w:rsidRDefault="007C0626" w:rsidP="00423B17">
      <w:pPr>
        <w:rPr>
          <w:rFonts w:ascii="Arial" w:hAnsi="Arial" w:cs="Arial"/>
        </w:rPr>
      </w:pPr>
    </w:p>
    <w:p w:rsidR="000A2218" w:rsidRPr="00122AA1" w:rsidRDefault="00122AA1" w:rsidP="000A2218">
      <w:pPr>
        <w:pStyle w:val="Heading1"/>
        <w:rPr>
          <w:rFonts w:ascii="Arial" w:hAnsi="Arial"/>
        </w:rPr>
      </w:pPr>
      <w:bookmarkStart w:id="44" w:name="_Toc359574777"/>
      <w:r w:rsidRPr="00122AA1">
        <w:rPr>
          <w:rFonts w:ascii="Arial" w:hAnsi="Arial"/>
        </w:rPr>
        <w:t>Enabling strategies for</w:t>
      </w:r>
      <w:r w:rsidR="001779E5" w:rsidRPr="00122AA1">
        <w:rPr>
          <w:rFonts w:ascii="Arial" w:hAnsi="Arial"/>
        </w:rPr>
        <w:br/>
      </w:r>
      <w:r w:rsidR="001D1526" w:rsidRPr="00122AA1">
        <w:rPr>
          <w:rFonts w:ascii="Arial" w:hAnsi="Arial"/>
        </w:rPr>
        <w:t>the personal information environment</w:t>
      </w:r>
      <w:bookmarkEnd w:id="44"/>
      <w:r w:rsidR="000F20A1" w:rsidRPr="00122AA1">
        <w:rPr>
          <w:rFonts w:ascii="Arial" w:hAnsi="Arial"/>
        </w:rPr>
        <w:t xml:space="preserve"> </w:t>
      </w:r>
    </w:p>
    <w:p w:rsidR="00B876A8" w:rsidRPr="00122AA1" w:rsidRDefault="00B876A8" w:rsidP="00B876A8">
      <w:pPr>
        <w:rPr>
          <w:rFonts w:ascii="Arial" w:hAnsi="Arial" w:cs="Arial"/>
        </w:rPr>
      </w:pPr>
      <w:r w:rsidRPr="00122AA1">
        <w:rPr>
          <w:rFonts w:ascii="Arial" w:hAnsi="Arial" w:cs="Arial"/>
        </w:rPr>
        <w:t>Many concerns about the protection of digital data derive from lack of transparency in data collection processes</w:t>
      </w:r>
      <w:r w:rsidR="006658D2" w:rsidRPr="00122AA1">
        <w:rPr>
          <w:rFonts w:ascii="Arial" w:hAnsi="Arial" w:cs="Arial"/>
        </w:rPr>
        <w:t xml:space="preserve"> and</w:t>
      </w:r>
      <w:r w:rsidRPr="00122AA1">
        <w:rPr>
          <w:rFonts w:ascii="Arial" w:hAnsi="Arial" w:cs="Arial"/>
        </w:rPr>
        <w:t xml:space="preserve"> adequate tools for controlling the disclo</w:t>
      </w:r>
      <w:r w:rsidR="00253D8F" w:rsidRPr="00122AA1">
        <w:rPr>
          <w:rFonts w:ascii="Arial" w:hAnsi="Arial" w:cs="Arial"/>
        </w:rPr>
        <w:t>sure of personal data</w:t>
      </w:r>
      <w:r w:rsidR="006658D2" w:rsidRPr="00122AA1">
        <w:rPr>
          <w:rFonts w:ascii="Arial" w:hAnsi="Arial" w:cs="Arial"/>
        </w:rPr>
        <w:t>,</w:t>
      </w:r>
      <w:r w:rsidR="00253D8F" w:rsidRPr="00122AA1">
        <w:rPr>
          <w:rFonts w:ascii="Arial" w:hAnsi="Arial" w:cs="Arial"/>
        </w:rPr>
        <w:t xml:space="preserve"> or both. </w:t>
      </w:r>
      <w:r w:rsidR="004474E0" w:rsidRPr="00122AA1">
        <w:rPr>
          <w:rFonts w:ascii="Arial" w:hAnsi="Arial" w:cs="Arial"/>
        </w:rPr>
        <w:t>In such an innovative environment, the regulator’s focus needs to span traditional protections for the privacy of personal communications</w:t>
      </w:r>
      <w:r w:rsidR="006658D2" w:rsidRPr="00122AA1">
        <w:rPr>
          <w:rFonts w:ascii="Arial" w:hAnsi="Arial" w:cs="Arial"/>
        </w:rPr>
        <w:t>,</w:t>
      </w:r>
      <w:r w:rsidR="004474E0" w:rsidRPr="00122AA1">
        <w:rPr>
          <w:rFonts w:ascii="Arial" w:hAnsi="Arial" w:cs="Arial"/>
        </w:rPr>
        <w:t xml:space="preserve"> as well as consider solutions to emerg</w:t>
      </w:r>
      <w:r w:rsidR="00253D8F" w:rsidRPr="00122AA1">
        <w:rPr>
          <w:rFonts w:ascii="Arial" w:hAnsi="Arial" w:cs="Arial"/>
        </w:rPr>
        <w:t xml:space="preserve">ing areas of citizen concern. </w:t>
      </w:r>
      <w:r w:rsidR="004474E0" w:rsidRPr="00122AA1">
        <w:rPr>
          <w:rFonts w:ascii="Arial" w:hAnsi="Arial" w:cs="Arial"/>
        </w:rPr>
        <w:t>In this context, co</w:t>
      </w:r>
      <w:r w:rsidRPr="00122AA1">
        <w:rPr>
          <w:rFonts w:ascii="Arial" w:hAnsi="Arial" w:cs="Arial"/>
        </w:rPr>
        <w:t>mmunication strategies and market-based solutions are likely to play an increasingly important role in addressing such concerns before other types of intervention</w:t>
      </w:r>
      <w:r w:rsidR="006658D2" w:rsidRPr="00122AA1">
        <w:rPr>
          <w:rFonts w:ascii="Arial" w:hAnsi="Arial" w:cs="Arial"/>
        </w:rPr>
        <w:t>. T</w:t>
      </w:r>
      <w:r w:rsidRPr="00122AA1">
        <w:rPr>
          <w:rFonts w:ascii="Arial" w:hAnsi="Arial" w:cs="Arial"/>
        </w:rPr>
        <w:t xml:space="preserve">here is also likely to </w:t>
      </w:r>
      <w:r w:rsidR="006658D2" w:rsidRPr="00122AA1">
        <w:rPr>
          <w:rFonts w:ascii="Arial" w:hAnsi="Arial" w:cs="Arial"/>
        </w:rPr>
        <w:t>be</w:t>
      </w:r>
      <w:r w:rsidRPr="00122AA1">
        <w:rPr>
          <w:rFonts w:ascii="Arial" w:hAnsi="Arial" w:cs="Arial"/>
        </w:rPr>
        <w:t xml:space="preserve"> a place for direct regulation where it can be applied meaningfully to digital information practices.</w:t>
      </w:r>
    </w:p>
    <w:p w:rsidR="00B876A8" w:rsidRPr="00122AA1" w:rsidRDefault="00B876A8" w:rsidP="00B876A8">
      <w:pPr>
        <w:rPr>
          <w:rFonts w:ascii="Arial" w:hAnsi="Arial" w:cs="Arial"/>
        </w:rPr>
      </w:pPr>
    </w:p>
    <w:p w:rsidR="001D1526" w:rsidRPr="00122AA1" w:rsidRDefault="00A717B8" w:rsidP="00B876A8">
      <w:pPr>
        <w:rPr>
          <w:rFonts w:ascii="Arial" w:hAnsi="Arial" w:cs="Arial"/>
        </w:rPr>
      </w:pPr>
      <w:r w:rsidRPr="00122AA1">
        <w:rPr>
          <w:rFonts w:ascii="Arial" w:hAnsi="Arial" w:cs="Arial"/>
        </w:rPr>
        <w:t>This chapter discusses the suite of strategies and tools available to address the emerging privacy and personal data concerns in a networked society and information economy.</w:t>
      </w:r>
    </w:p>
    <w:p w:rsidR="00CE6BA3" w:rsidRPr="00122AA1" w:rsidRDefault="00CE6BA3" w:rsidP="00102E07">
      <w:pPr>
        <w:rPr>
          <w:rFonts w:ascii="Arial" w:hAnsi="Arial" w:cs="Arial"/>
        </w:rPr>
      </w:pPr>
    </w:p>
    <w:p w:rsidR="00CE6BA3" w:rsidRPr="00122AA1" w:rsidRDefault="00CE6BA3" w:rsidP="00131F9E">
      <w:pPr>
        <w:pStyle w:val="Heading2"/>
        <w:rPr>
          <w:rFonts w:ascii="Arial" w:hAnsi="Arial"/>
        </w:rPr>
      </w:pPr>
      <w:bookmarkStart w:id="45" w:name="_Toc359574778"/>
      <w:r w:rsidRPr="00122AA1">
        <w:rPr>
          <w:rFonts w:ascii="Arial" w:hAnsi="Arial"/>
        </w:rPr>
        <w:t>Communication strategies</w:t>
      </w:r>
      <w:bookmarkEnd w:id="45"/>
    </w:p>
    <w:p w:rsidR="00131F9E" w:rsidRPr="00122AA1" w:rsidRDefault="00131F9E" w:rsidP="00CE6BA3">
      <w:pPr>
        <w:rPr>
          <w:rFonts w:ascii="Arial" w:hAnsi="Arial" w:cs="Arial"/>
        </w:rPr>
      </w:pPr>
      <w:r w:rsidRPr="00122AA1">
        <w:rPr>
          <w:rFonts w:ascii="Arial" w:hAnsi="Arial" w:cs="Arial"/>
        </w:rPr>
        <w:t>Communication strategies are particularly useful where improvements in knowledge or industry/citizen behaviour is the intended regulatory outcome.</w:t>
      </w:r>
    </w:p>
    <w:p w:rsidR="00131F9E" w:rsidRPr="00122AA1" w:rsidRDefault="00131F9E" w:rsidP="00CE6BA3">
      <w:pPr>
        <w:rPr>
          <w:rFonts w:ascii="Arial" w:hAnsi="Arial" w:cs="Arial"/>
        </w:rPr>
      </w:pPr>
    </w:p>
    <w:p w:rsidR="00DA26B9" w:rsidRPr="00122AA1" w:rsidRDefault="00131F9E" w:rsidP="00DA26B9">
      <w:pPr>
        <w:rPr>
          <w:rFonts w:ascii="Arial" w:hAnsi="Arial" w:cs="Arial"/>
        </w:rPr>
      </w:pPr>
      <w:r w:rsidRPr="00122AA1">
        <w:rPr>
          <w:rFonts w:ascii="Arial" w:hAnsi="Arial" w:cs="Arial"/>
        </w:rPr>
        <w:t xml:space="preserve">Research on consumers’ attitudes to the collection and use of their personal data indicates that many </w:t>
      </w:r>
      <w:r w:rsidR="00872145" w:rsidRPr="00122AA1">
        <w:rPr>
          <w:rFonts w:ascii="Arial" w:hAnsi="Arial" w:cs="Arial"/>
        </w:rPr>
        <w:t xml:space="preserve">want </w:t>
      </w:r>
      <w:r w:rsidRPr="00122AA1">
        <w:rPr>
          <w:rFonts w:ascii="Arial" w:hAnsi="Arial" w:cs="Arial"/>
        </w:rPr>
        <w:t xml:space="preserve">better information about these practices. </w:t>
      </w:r>
      <w:r w:rsidR="00041E75" w:rsidRPr="00122AA1">
        <w:rPr>
          <w:rFonts w:ascii="Arial" w:hAnsi="Arial" w:cs="Arial"/>
        </w:rPr>
        <w:t>There is a</w:t>
      </w:r>
      <w:r w:rsidR="00902519" w:rsidRPr="00122AA1">
        <w:rPr>
          <w:rFonts w:ascii="Arial" w:hAnsi="Arial" w:cs="Arial"/>
        </w:rPr>
        <w:t xml:space="preserve"> range of different contexts in which privacy and personal data protection concerns will arise</w:t>
      </w:r>
      <w:r w:rsidR="00041E75" w:rsidRPr="00122AA1">
        <w:rPr>
          <w:rFonts w:ascii="Arial" w:hAnsi="Arial" w:cs="Arial"/>
        </w:rPr>
        <w:t xml:space="preserve">. This requires </w:t>
      </w:r>
      <w:r w:rsidR="00902519" w:rsidRPr="00122AA1">
        <w:rPr>
          <w:rFonts w:ascii="Arial" w:hAnsi="Arial" w:cs="Arial"/>
        </w:rPr>
        <w:t xml:space="preserve">an increased emphasis on digital literacy to provide citizens with the skills, knowledge and behaviour that they </w:t>
      </w:r>
      <w:r w:rsidR="00041E75" w:rsidRPr="00122AA1">
        <w:rPr>
          <w:rFonts w:ascii="Arial" w:hAnsi="Arial" w:cs="Arial"/>
        </w:rPr>
        <w:t xml:space="preserve">need </w:t>
      </w:r>
      <w:r w:rsidR="00902519" w:rsidRPr="00122AA1">
        <w:rPr>
          <w:rFonts w:ascii="Arial" w:hAnsi="Arial" w:cs="Arial"/>
        </w:rPr>
        <w:t>to manage privacy issues.</w:t>
      </w:r>
      <w:r w:rsidR="00DA26B9" w:rsidRPr="00122AA1">
        <w:rPr>
          <w:rFonts w:ascii="Arial" w:hAnsi="Arial" w:cs="Arial"/>
        </w:rPr>
        <w:t xml:space="preserve"> </w:t>
      </w:r>
    </w:p>
    <w:p w:rsidR="00131F9E" w:rsidRPr="00122AA1" w:rsidRDefault="00131F9E" w:rsidP="00131F9E">
      <w:pPr>
        <w:rPr>
          <w:rFonts w:ascii="Arial" w:hAnsi="Arial" w:cs="Arial"/>
        </w:rPr>
      </w:pPr>
    </w:p>
    <w:p w:rsidR="00DA26B9" w:rsidRPr="00122AA1" w:rsidRDefault="00131F9E" w:rsidP="00DA26B9">
      <w:pPr>
        <w:rPr>
          <w:rFonts w:ascii="Arial" w:hAnsi="Arial" w:cs="Arial"/>
        </w:rPr>
      </w:pPr>
      <w:r w:rsidRPr="00122AA1">
        <w:rPr>
          <w:rFonts w:ascii="Arial" w:hAnsi="Arial" w:cs="Arial"/>
        </w:rPr>
        <w:t xml:space="preserve">Many consumer concerns about their personal data can be addressed with </w:t>
      </w:r>
      <w:r w:rsidR="00041E75" w:rsidRPr="00122AA1">
        <w:rPr>
          <w:rFonts w:ascii="Arial" w:hAnsi="Arial" w:cs="Arial"/>
        </w:rPr>
        <w:t xml:space="preserve">the </w:t>
      </w:r>
      <w:r w:rsidRPr="00122AA1">
        <w:rPr>
          <w:rFonts w:ascii="Arial" w:hAnsi="Arial" w:cs="Arial"/>
        </w:rPr>
        <w:t>privacy-enhancing tool</w:t>
      </w:r>
      <w:r w:rsidR="00253D8F" w:rsidRPr="00122AA1">
        <w:rPr>
          <w:rFonts w:ascii="Arial" w:hAnsi="Arial" w:cs="Arial"/>
        </w:rPr>
        <w:t>s and services described above.</w:t>
      </w:r>
      <w:r w:rsidRPr="00122AA1">
        <w:rPr>
          <w:rFonts w:ascii="Arial" w:hAnsi="Arial" w:cs="Arial"/>
        </w:rPr>
        <w:t xml:space="preserve"> However, </w:t>
      </w:r>
      <w:r w:rsidR="00041E75" w:rsidRPr="00122AA1">
        <w:rPr>
          <w:rFonts w:ascii="Arial" w:hAnsi="Arial" w:cs="Arial"/>
        </w:rPr>
        <w:t xml:space="preserve">consumers </w:t>
      </w:r>
      <w:r w:rsidRPr="00122AA1">
        <w:rPr>
          <w:rFonts w:ascii="Arial" w:hAnsi="Arial" w:cs="Arial"/>
        </w:rPr>
        <w:t xml:space="preserve">need to be made aware of the </w:t>
      </w:r>
      <w:r w:rsidR="00041E75" w:rsidRPr="00122AA1">
        <w:rPr>
          <w:rFonts w:ascii="Arial" w:hAnsi="Arial" w:cs="Arial"/>
        </w:rPr>
        <w:t xml:space="preserve">existence </w:t>
      </w:r>
      <w:r w:rsidRPr="00122AA1">
        <w:rPr>
          <w:rFonts w:ascii="Arial" w:hAnsi="Arial" w:cs="Arial"/>
        </w:rPr>
        <w:t xml:space="preserve">of such tools and how they can be used. Some companies which collect personal data are also taking steps to modify their practices by ensuring that only necessary information is collected and that this </w:t>
      </w:r>
      <w:r w:rsidR="00253D8F" w:rsidRPr="00122AA1">
        <w:rPr>
          <w:rFonts w:ascii="Arial" w:hAnsi="Arial" w:cs="Arial"/>
        </w:rPr>
        <w:t>is not personally identifiable.</w:t>
      </w:r>
      <w:r w:rsidRPr="00122AA1">
        <w:rPr>
          <w:rFonts w:ascii="Arial" w:hAnsi="Arial" w:cs="Arial"/>
        </w:rPr>
        <w:t xml:space="preserve"> However, individuals may not be aware th</w:t>
      </w:r>
      <w:r w:rsidR="00253D8F" w:rsidRPr="00122AA1">
        <w:rPr>
          <w:rFonts w:ascii="Arial" w:hAnsi="Arial" w:cs="Arial"/>
        </w:rPr>
        <w:t>at these steps are being taken.</w:t>
      </w:r>
      <w:r w:rsidRPr="00122AA1">
        <w:rPr>
          <w:rFonts w:ascii="Arial" w:hAnsi="Arial" w:cs="Arial"/>
        </w:rPr>
        <w:t xml:space="preserve"> Personal data collectors could develop effective strategies to better communicate their practices and the safeguards that they </w:t>
      </w:r>
      <w:r w:rsidR="00041E75" w:rsidRPr="00122AA1">
        <w:rPr>
          <w:rFonts w:ascii="Arial" w:hAnsi="Arial" w:cs="Arial"/>
        </w:rPr>
        <w:t xml:space="preserve">have </w:t>
      </w:r>
      <w:r w:rsidRPr="00122AA1">
        <w:rPr>
          <w:rFonts w:ascii="Arial" w:hAnsi="Arial" w:cs="Arial"/>
        </w:rPr>
        <w:t>put in place.</w:t>
      </w:r>
      <w:r w:rsidR="006F4E60" w:rsidRPr="00122AA1">
        <w:rPr>
          <w:rFonts w:ascii="Arial" w:hAnsi="Arial" w:cs="Arial"/>
        </w:rPr>
        <w:t xml:space="preserve"> E</w:t>
      </w:r>
      <w:r w:rsidR="00EA0914" w:rsidRPr="00122AA1">
        <w:rPr>
          <w:rFonts w:ascii="Arial" w:hAnsi="Arial" w:cs="Arial"/>
        </w:rPr>
        <w:t>xperience in the area of cybersafety education has shown that a degree of coordination is required to ensure appropriate coverage of the range of issues and audiences that need to be addressed.</w:t>
      </w:r>
    </w:p>
    <w:p w:rsidR="00CE6BA3" w:rsidRPr="00122AA1" w:rsidRDefault="00CE6BA3" w:rsidP="00CE6BA3">
      <w:pPr>
        <w:rPr>
          <w:rFonts w:ascii="Arial" w:hAnsi="Arial" w:cs="Arial"/>
        </w:rPr>
      </w:pPr>
    </w:p>
    <w:p w:rsidR="00145D79" w:rsidRPr="00122AA1" w:rsidRDefault="00145D79" w:rsidP="00145D79">
      <w:pPr>
        <w:rPr>
          <w:rFonts w:ascii="Arial" w:hAnsi="Arial" w:cs="Arial"/>
          <w:szCs w:val="20"/>
        </w:rPr>
      </w:pPr>
      <w:r w:rsidRPr="00122AA1">
        <w:rPr>
          <w:rFonts w:ascii="Arial" w:hAnsi="Arial" w:cs="Arial"/>
          <w:szCs w:val="20"/>
        </w:rPr>
        <w:t>The ACMA’s Cybersmart program is an example of an information and education strategy that provides a range of resources to address online risks and how to manage them. These include resources that deal with a number of privacy-related topics, including social networking, digital reputation, identity theft,</w:t>
      </w:r>
      <w:r w:rsidR="00253D8F" w:rsidRPr="00122AA1">
        <w:rPr>
          <w:rFonts w:ascii="Arial" w:hAnsi="Arial" w:cs="Arial"/>
          <w:szCs w:val="20"/>
        </w:rPr>
        <w:t xml:space="preserve"> sexting and unwanted contact. </w:t>
      </w:r>
      <w:r w:rsidRPr="00122AA1">
        <w:rPr>
          <w:rFonts w:ascii="Arial" w:hAnsi="Arial" w:cs="Arial"/>
          <w:szCs w:val="20"/>
        </w:rPr>
        <w:t xml:space="preserve">The ACMA supported 2013 Privacy Awareness Week by hosting a number of Cybersmart Networking and Cybersmart Detectives activities for upper primary and lower secondary students across Australia that helped to raise awareness of online social networking, with a focus on privacy settings. </w:t>
      </w:r>
    </w:p>
    <w:p w:rsidR="00041E75" w:rsidRPr="00122AA1" w:rsidRDefault="00041E75" w:rsidP="00145D79">
      <w:pPr>
        <w:rPr>
          <w:rFonts w:ascii="Arial" w:hAnsi="Arial" w:cs="Arial"/>
        </w:rPr>
      </w:pPr>
    </w:p>
    <w:p w:rsidR="002A05A8" w:rsidRPr="00122AA1" w:rsidRDefault="00131F9E" w:rsidP="002A05A8">
      <w:pPr>
        <w:pStyle w:val="Heading2"/>
        <w:rPr>
          <w:rFonts w:ascii="Arial" w:hAnsi="Arial"/>
        </w:rPr>
      </w:pPr>
      <w:bookmarkStart w:id="46" w:name="_Toc359574779"/>
      <w:r w:rsidRPr="00122AA1">
        <w:rPr>
          <w:rFonts w:ascii="Arial" w:hAnsi="Arial"/>
        </w:rPr>
        <w:t>Facilitation of i</w:t>
      </w:r>
      <w:r w:rsidR="00EF18FB" w:rsidRPr="00122AA1">
        <w:rPr>
          <w:rFonts w:ascii="Arial" w:hAnsi="Arial"/>
        </w:rPr>
        <w:t>ndustry co</w:t>
      </w:r>
      <w:r w:rsidR="00CE4F23" w:rsidRPr="00122AA1">
        <w:rPr>
          <w:rFonts w:ascii="Arial" w:hAnsi="Arial"/>
        </w:rPr>
        <w:t>- and self-</w:t>
      </w:r>
      <w:r w:rsidR="00EF18FB" w:rsidRPr="00122AA1">
        <w:rPr>
          <w:rFonts w:ascii="Arial" w:hAnsi="Arial"/>
        </w:rPr>
        <w:t>regulation</w:t>
      </w:r>
      <w:bookmarkEnd w:id="46"/>
      <w:r w:rsidR="002A05A8" w:rsidRPr="00122AA1">
        <w:rPr>
          <w:rFonts w:ascii="Arial" w:hAnsi="Arial"/>
        </w:rPr>
        <w:t xml:space="preserve"> </w:t>
      </w:r>
    </w:p>
    <w:p w:rsidR="002A05A8" w:rsidRPr="00122AA1" w:rsidRDefault="002A05A8" w:rsidP="001779E5">
      <w:pPr>
        <w:rPr>
          <w:rFonts w:ascii="Arial" w:hAnsi="Arial" w:cs="Arial"/>
        </w:rPr>
      </w:pPr>
      <w:r w:rsidRPr="00122AA1">
        <w:rPr>
          <w:rFonts w:ascii="Arial" w:hAnsi="Arial" w:cs="Arial"/>
        </w:rPr>
        <w:t>Non-regulatory solutions potentially offer greater flexibility to protect personal data in the myriad contexts in which it is</w:t>
      </w:r>
      <w:r w:rsidR="00253D8F" w:rsidRPr="00122AA1">
        <w:rPr>
          <w:rFonts w:ascii="Arial" w:hAnsi="Arial" w:cs="Arial"/>
        </w:rPr>
        <w:t xml:space="preserve"> collected, stored and shared. </w:t>
      </w:r>
      <w:r w:rsidR="00EF18FB" w:rsidRPr="00122AA1">
        <w:rPr>
          <w:rFonts w:ascii="Arial" w:hAnsi="Arial" w:cs="Arial"/>
        </w:rPr>
        <w:t>Facilitation strategies such as industry co and self regulation are particularly useful where the intended outcomes are improvements in service, standards, knowledge about obligations, or incentives for behavioural change by industry parti</w:t>
      </w:r>
      <w:r w:rsidR="00253D8F" w:rsidRPr="00122AA1">
        <w:rPr>
          <w:rFonts w:ascii="Arial" w:hAnsi="Arial" w:cs="Arial"/>
        </w:rPr>
        <w:t>cipants or individual citizens.</w:t>
      </w:r>
      <w:r w:rsidR="00EF18FB" w:rsidRPr="00122AA1">
        <w:rPr>
          <w:rFonts w:ascii="Arial" w:hAnsi="Arial" w:cs="Arial"/>
        </w:rPr>
        <w:t xml:space="preserve"> Many of these conditions are present in the evolving </w:t>
      </w:r>
      <w:r w:rsidR="00131F9E" w:rsidRPr="00122AA1">
        <w:rPr>
          <w:rFonts w:ascii="Arial" w:hAnsi="Arial" w:cs="Arial"/>
        </w:rPr>
        <w:t>personal data market.</w:t>
      </w:r>
    </w:p>
    <w:p w:rsidR="003C4AA7" w:rsidRPr="00122AA1" w:rsidRDefault="003C4AA7" w:rsidP="001779E5">
      <w:pPr>
        <w:rPr>
          <w:rFonts w:ascii="Arial" w:hAnsi="Arial" w:cs="Arial"/>
        </w:rPr>
      </w:pPr>
    </w:p>
    <w:p w:rsidR="00955CEB" w:rsidRPr="00122AA1" w:rsidRDefault="003C4AA7" w:rsidP="002A05A8">
      <w:pPr>
        <w:rPr>
          <w:rFonts w:ascii="Arial" w:hAnsi="Arial" w:cs="Arial"/>
        </w:rPr>
      </w:pPr>
      <w:r w:rsidRPr="00122AA1">
        <w:rPr>
          <w:rFonts w:ascii="Arial" w:hAnsi="Arial" w:cs="Arial"/>
        </w:rPr>
        <w:t>There are a number of examples of self-regulatory initiatives that aim to address growing citizen concerns about priva</w:t>
      </w:r>
      <w:r w:rsidR="00253D8F" w:rsidRPr="00122AA1">
        <w:rPr>
          <w:rFonts w:ascii="Arial" w:hAnsi="Arial" w:cs="Arial"/>
        </w:rPr>
        <w:t xml:space="preserve">cy in the digital environment. </w:t>
      </w:r>
    </w:p>
    <w:p w:rsidR="00955CEB" w:rsidRPr="00122AA1" w:rsidRDefault="00955CEB" w:rsidP="002A05A8">
      <w:pPr>
        <w:rPr>
          <w:rFonts w:ascii="Arial" w:hAnsi="Arial" w:cs="Arial"/>
        </w:rPr>
      </w:pPr>
    </w:p>
    <w:p w:rsidR="00955CEB" w:rsidRPr="00122AA1" w:rsidRDefault="003C4AA7" w:rsidP="002A05A8">
      <w:pPr>
        <w:rPr>
          <w:rFonts w:ascii="Arial" w:hAnsi="Arial" w:cs="Arial"/>
        </w:rPr>
      </w:pPr>
      <w:r w:rsidRPr="00122AA1">
        <w:rPr>
          <w:rFonts w:ascii="Arial" w:hAnsi="Arial" w:cs="Arial"/>
        </w:rPr>
        <w:t xml:space="preserve">A </w:t>
      </w:r>
      <w:r w:rsidR="003D02B6" w:rsidRPr="00122AA1">
        <w:rPr>
          <w:rFonts w:ascii="Arial" w:hAnsi="Arial" w:cs="Arial"/>
        </w:rPr>
        <w:t xml:space="preserve">prominent </w:t>
      </w:r>
      <w:r w:rsidRPr="00122AA1">
        <w:rPr>
          <w:rFonts w:ascii="Arial" w:hAnsi="Arial" w:cs="Arial"/>
        </w:rPr>
        <w:t>are</w:t>
      </w:r>
      <w:r w:rsidR="003D02B6" w:rsidRPr="00122AA1">
        <w:rPr>
          <w:rFonts w:ascii="Arial" w:hAnsi="Arial" w:cs="Arial"/>
        </w:rPr>
        <w:t>a</w:t>
      </w:r>
      <w:r w:rsidRPr="00122AA1">
        <w:rPr>
          <w:rFonts w:ascii="Arial" w:hAnsi="Arial" w:cs="Arial"/>
        </w:rPr>
        <w:t xml:space="preserve"> of concern</w:t>
      </w:r>
      <w:r w:rsidR="003D02B6" w:rsidRPr="00122AA1">
        <w:rPr>
          <w:rFonts w:ascii="Arial" w:hAnsi="Arial" w:cs="Arial"/>
        </w:rPr>
        <w:t xml:space="preserve"> for many citizens has been </w:t>
      </w:r>
      <w:r w:rsidRPr="00122AA1">
        <w:rPr>
          <w:rFonts w:ascii="Arial" w:hAnsi="Arial" w:cs="Arial"/>
        </w:rPr>
        <w:t xml:space="preserve">online </w:t>
      </w:r>
      <w:r w:rsidR="003D02B6" w:rsidRPr="00122AA1">
        <w:rPr>
          <w:rFonts w:ascii="Arial" w:hAnsi="Arial" w:cs="Arial"/>
        </w:rPr>
        <w:t>advertising, and the use of personal data and data about online behaviour target advertis</w:t>
      </w:r>
      <w:r w:rsidR="00253D8F" w:rsidRPr="00122AA1">
        <w:rPr>
          <w:rFonts w:ascii="Arial" w:hAnsi="Arial" w:cs="Arial"/>
        </w:rPr>
        <w:t>ements that appear on websites.</w:t>
      </w:r>
      <w:r w:rsidR="003D02B6" w:rsidRPr="00122AA1">
        <w:rPr>
          <w:rFonts w:ascii="Arial" w:hAnsi="Arial" w:cs="Arial"/>
        </w:rPr>
        <w:t xml:space="preserve"> As noted above, many citizens are taking steps to block online tracking activity and are reluctant to divulge personal information that may be used to tar</w:t>
      </w:r>
      <w:r w:rsidR="00253D8F" w:rsidRPr="00122AA1">
        <w:rPr>
          <w:rFonts w:ascii="Arial" w:hAnsi="Arial" w:cs="Arial"/>
        </w:rPr>
        <w:t>get advertising.</w:t>
      </w:r>
      <w:r w:rsidR="003D02B6" w:rsidRPr="00122AA1">
        <w:rPr>
          <w:rFonts w:ascii="Arial" w:hAnsi="Arial" w:cs="Arial"/>
        </w:rPr>
        <w:t xml:space="preserve"> In response to these concerns and in an </w:t>
      </w:r>
      <w:r w:rsidR="000A2BB7" w:rsidRPr="00122AA1">
        <w:rPr>
          <w:rFonts w:ascii="Arial" w:hAnsi="Arial" w:cs="Arial"/>
        </w:rPr>
        <w:t>effort to restore citizens’ confidence in online data collection practices, Australia’s Interactive Advertising Bureau has developed a Best Practice Guideline for Paid Social Advertising.</w:t>
      </w:r>
      <w:r w:rsidR="000A2BB7" w:rsidRPr="00122AA1">
        <w:rPr>
          <w:rStyle w:val="FootnoteReference"/>
          <w:rFonts w:cs="Arial"/>
        </w:rPr>
        <w:footnoteReference w:id="36"/>
      </w:r>
      <w:r w:rsidR="00253D8F" w:rsidRPr="00122AA1">
        <w:rPr>
          <w:rFonts w:ascii="Arial" w:hAnsi="Arial" w:cs="Arial"/>
        </w:rPr>
        <w:t xml:space="preserve"> </w:t>
      </w:r>
      <w:r w:rsidR="00131F9E" w:rsidRPr="00122AA1">
        <w:rPr>
          <w:rFonts w:ascii="Arial" w:hAnsi="Arial" w:cs="Arial"/>
        </w:rPr>
        <w:t>T</w:t>
      </w:r>
      <w:r w:rsidR="000A2BB7" w:rsidRPr="00122AA1">
        <w:rPr>
          <w:rFonts w:ascii="Arial" w:hAnsi="Arial" w:cs="Arial"/>
        </w:rPr>
        <w:t>he guideline includes recommendations</w:t>
      </w:r>
      <w:r w:rsidR="00A26421" w:rsidRPr="00122AA1">
        <w:rPr>
          <w:rFonts w:ascii="Arial" w:hAnsi="Arial" w:cs="Arial"/>
        </w:rPr>
        <w:t xml:space="preserve"> that consumers be given opportunities to opt in and out of certain data collection practices plus guidance on how social media profile data should be captured, used and disclosed in marketing activities</w:t>
      </w:r>
      <w:r w:rsidR="00253D8F" w:rsidRPr="00122AA1">
        <w:rPr>
          <w:rFonts w:ascii="Arial" w:hAnsi="Arial" w:cs="Arial"/>
        </w:rPr>
        <w:t xml:space="preserve">. </w:t>
      </w:r>
      <w:r w:rsidR="008239F0" w:rsidRPr="00122AA1">
        <w:rPr>
          <w:rFonts w:ascii="Arial" w:hAnsi="Arial" w:cs="Arial"/>
        </w:rPr>
        <w:t xml:space="preserve">While compliance with the guideline is voluntary, their development and publication informs adoption of good industry practices and provides a basis for stakeholder engagement on personal data usage.  </w:t>
      </w:r>
    </w:p>
    <w:p w:rsidR="00955CEB" w:rsidRPr="00122AA1" w:rsidRDefault="00955CEB" w:rsidP="002A05A8">
      <w:pPr>
        <w:rPr>
          <w:rFonts w:ascii="Arial" w:hAnsi="Arial" w:cs="Arial"/>
        </w:rPr>
      </w:pPr>
    </w:p>
    <w:p w:rsidR="002A05A8" w:rsidRPr="00122AA1" w:rsidRDefault="00955CEB" w:rsidP="002A05A8">
      <w:pPr>
        <w:rPr>
          <w:rFonts w:ascii="Arial" w:hAnsi="Arial" w:cs="Arial"/>
        </w:rPr>
      </w:pPr>
      <w:r w:rsidRPr="00122AA1">
        <w:rPr>
          <w:rFonts w:ascii="Arial" w:hAnsi="Arial" w:cs="Arial"/>
        </w:rPr>
        <w:t>Regulators can play a role in informing development of such initiatives through independent research, development of good practice principl</w:t>
      </w:r>
      <w:r w:rsidR="00253D8F" w:rsidRPr="00122AA1">
        <w:rPr>
          <w:rFonts w:ascii="Arial" w:hAnsi="Arial" w:cs="Arial"/>
        </w:rPr>
        <w:t xml:space="preserve">es and stakeholder engagement. </w:t>
      </w:r>
      <w:r w:rsidR="00161A53" w:rsidRPr="00122AA1">
        <w:rPr>
          <w:rFonts w:ascii="Arial" w:hAnsi="Arial" w:cs="Arial"/>
        </w:rPr>
        <w:t>The OAIC</w:t>
      </w:r>
      <w:r w:rsidR="002A05A8" w:rsidRPr="00122AA1">
        <w:rPr>
          <w:rFonts w:ascii="Arial" w:hAnsi="Arial" w:cs="Arial"/>
        </w:rPr>
        <w:t xml:space="preserve"> has developed a consultation draft better practice guide for app developers. The draft guide suggests that developers be aware of privacy responsibilities, be open and transparent about privacy practices, only collect personal information that the apps need to function and securing that information. It also suggests ways to facilitate more meaningful user consent, such as short-form notices and privacy dashboards.</w:t>
      </w:r>
    </w:p>
    <w:p w:rsidR="002A05A8" w:rsidRPr="00122AA1" w:rsidRDefault="002A05A8" w:rsidP="002A05A8">
      <w:pPr>
        <w:rPr>
          <w:rFonts w:ascii="Arial" w:hAnsi="Arial" w:cs="Arial"/>
        </w:rPr>
      </w:pPr>
    </w:p>
    <w:p w:rsidR="00B12D7D" w:rsidRPr="00122AA1" w:rsidRDefault="002A05A8" w:rsidP="006E0C81">
      <w:pPr>
        <w:spacing w:after="80"/>
        <w:rPr>
          <w:rFonts w:ascii="Arial" w:hAnsi="Arial" w:cs="Arial"/>
        </w:rPr>
      </w:pPr>
      <w:r w:rsidRPr="00122AA1">
        <w:rPr>
          <w:rFonts w:ascii="Arial" w:hAnsi="Arial" w:cs="Arial"/>
        </w:rPr>
        <w:t>The Privacy by Design framework developed by the Information and Privacy Commission of Ontario, Canada has been influential in guiding the adoption of better personal data practices at various points along the personal data supply chain.</w:t>
      </w:r>
      <w:r w:rsidR="00253D8F" w:rsidRPr="00122AA1">
        <w:rPr>
          <w:rFonts w:ascii="Arial" w:hAnsi="Arial" w:cs="Arial"/>
        </w:rPr>
        <w:t xml:space="preserve"> </w:t>
      </w:r>
      <w:r w:rsidR="00B12D7D" w:rsidRPr="00122AA1">
        <w:rPr>
          <w:rFonts w:ascii="Arial" w:hAnsi="Arial" w:cs="Arial"/>
        </w:rPr>
        <w:t>The Personal.com data vault</w:t>
      </w:r>
      <w:r w:rsidR="009D5661" w:rsidRPr="00122AA1">
        <w:rPr>
          <w:rFonts w:ascii="Arial" w:hAnsi="Arial" w:cs="Arial"/>
        </w:rPr>
        <w:t xml:space="preserve"> has been designed to comply with th</w:t>
      </w:r>
      <w:r w:rsidR="00253D8F" w:rsidRPr="00122AA1">
        <w:rPr>
          <w:rFonts w:ascii="Arial" w:hAnsi="Arial" w:cs="Arial"/>
        </w:rPr>
        <w:t xml:space="preserve">e Privacy by Design framework. </w:t>
      </w:r>
      <w:r w:rsidR="00B12D7D" w:rsidRPr="00122AA1">
        <w:rPr>
          <w:rFonts w:ascii="Arial" w:hAnsi="Arial" w:cs="Arial"/>
        </w:rPr>
        <w:t>Canada’s Information and Privacy Commissioner recently presented a case study of Personal.com focusing on its alignment with Privacy by Design</w:t>
      </w:r>
      <w:r w:rsidR="00B12D7D" w:rsidRPr="00122AA1">
        <w:rPr>
          <w:rStyle w:val="FootnoteReference"/>
          <w:rFonts w:cs="Arial"/>
        </w:rPr>
        <w:footnoteReference w:id="37"/>
      </w:r>
      <w:r w:rsidR="00B12D7D" w:rsidRPr="00122AA1">
        <w:rPr>
          <w:rFonts w:ascii="Arial" w:hAnsi="Arial" w:cs="Arial"/>
        </w:rPr>
        <w:t xml:space="preserve"> principles. This analysis showcases the innovative practices that Personal.com presents, including:</w:t>
      </w:r>
    </w:p>
    <w:p w:rsidR="00B12D7D" w:rsidRPr="00122AA1" w:rsidRDefault="00B12D7D" w:rsidP="006E0C81">
      <w:pPr>
        <w:pStyle w:val="ListBullet"/>
        <w:rPr>
          <w:rFonts w:ascii="Arial" w:hAnsi="Arial" w:cs="Arial"/>
        </w:rPr>
      </w:pPr>
      <w:r w:rsidRPr="00122AA1">
        <w:rPr>
          <w:rFonts w:ascii="Arial" w:hAnsi="Arial" w:cs="Arial"/>
        </w:rPr>
        <w:t>Data fields marked as sensitive are encrypted and can only be viewed with a password the user chooses. The fields marked sensitive go beyond legal requirements. The password is not stored, only the user has the password.</w:t>
      </w:r>
    </w:p>
    <w:p w:rsidR="00B12D7D" w:rsidRPr="00122AA1" w:rsidRDefault="00B12D7D" w:rsidP="009D5661">
      <w:pPr>
        <w:pStyle w:val="ListBullet"/>
        <w:rPr>
          <w:rFonts w:ascii="Arial" w:hAnsi="Arial" w:cs="Arial"/>
        </w:rPr>
      </w:pPr>
      <w:r w:rsidRPr="00122AA1">
        <w:rPr>
          <w:rFonts w:ascii="Arial" w:hAnsi="Arial" w:cs="Arial"/>
        </w:rPr>
        <w:t>Access to any information is permission-based, which means it is totally dependent on the user to give access, not Personal.com.</w:t>
      </w:r>
    </w:p>
    <w:p w:rsidR="009D5661" w:rsidRPr="00122AA1" w:rsidRDefault="00B12D7D" w:rsidP="00B12D7D">
      <w:pPr>
        <w:pStyle w:val="ListBullet"/>
        <w:rPr>
          <w:rFonts w:ascii="Arial" w:hAnsi="Arial" w:cs="Arial"/>
        </w:rPr>
      </w:pPr>
      <w:r w:rsidRPr="00122AA1">
        <w:rPr>
          <w:rFonts w:ascii="Arial" w:hAnsi="Arial" w:cs="Arial"/>
        </w:rPr>
        <w:t>Users can port their information out of the Personal.com database in XML format.</w:t>
      </w:r>
    </w:p>
    <w:p w:rsidR="002A05A8" w:rsidRPr="00122AA1" w:rsidRDefault="00B12D7D" w:rsidP="00827049">
      <w:pPr>
        <w:pStyle w:val="ListBullet"/>
        <w:spacing w:after="240"/>
        <w:rPr>
          <w:rFonts w:ascii="Arial" w:hAnsi="Arial" w:cs="Arial"/>
        </w:rPr>
      </w:pPr>
      <w:r w:rsidRPr="00122AA1">
        <w:rPr>
          <w:rFonts w:ascii="Arial" w:hAnsi="Arial" w:cs="Arial"/>
        </w:rPr>
        <w:t>Personal.com has a built-in ‘delete’ button that allows users to easily delete their accounts. In addition, if a user forgets or resets their password, all the data fields marked sensitive are deleted to ensure extra data security.</w:t>
      </w:r>
      <w:r w:rsidRPr="00122AA1">
        <w:rPr>
          <w:rStyle w:val="FootnoteReference"/>
          <w:rFonts w:cs="Arial"/>
        </w:rPr>
        <w:footnoteReference w:id="38"/>
      </w:r>
    </w:p>
    <w:p w:rsidR="002A05A8" w:rsidRPr="00122AA1" w:rsidRDefault="002A05A8" w:rsidP="00827049">
      <w:pPr>
        <w:spacing w:after="80"/>
        <w:rPr>
          <w:rFonts w:ascii="Arial" w:hAnsi="Arial" w:cs="Arial"/>
        </w:rPr>
      </w:pPr>
      <w:r w:rsidRPr="00122AA1">
        <w:rPr>
          <w:rFonts w:ascii="Arial" w:hAnsi="Arial" w:cs="Arial"/>
        </w:rPr>
        <w:t>In the mo</w:t>
      </w:r>
      <w:r w:rsidR="00381D8A" w:rsidRPr="00122AA1">
        <w:rPr>
          <w:rFonts w:ascii="Arial" w:hAnsi="Arial" w:cs="Arial"/>
        </w:rPr>
        <w:t>bile applications environment—</w:t>
      </w:r>
      <w:r w:rsidRPr="00122AA1">
        <w:rPr>
          <w:rFonts w:ascii="Arial" w:hAnsi="Arial" w:cs="Arial"/>
        </w:rPr>
        <w:t>where increasing amounts of personal data ar</w:t>
      </w:r>
      <w:r w:rsidR="00381D8A" w:rsidRPr="00122AA1">
        <w:rPr>
          <w:rFonts w:ascii="Arial" w:hAnsi="Arial" w:cs="Arial"/>
        </w:rPr>
        <w:t>e being created and collected—</w:t>
      </w:r>
      <w:r w:rsidRPr="00122AA1">
        <w:rPr>
          <w:rFonts w:ascii="Arial" w:hAnsi="Arial" w:cs="Arial"/>
        </w:rPr>
        <w:t xml:space="preserve">application store providers and other industry participants have established governance arrangements and guidelines which aim to foster citizen-friendly data practices by application developers and other parties in </w:t>
      </w:r>
      <w:r w:rsidR="00253D8F" w:rsidRPr="00122AA1">
        <w:rPr>
          <w:rFonts w:ascii="Arial" w:hAnsi="Arial" w:cs="Arial"/>
        </w:rPr>
        <w:t xml:space="preserve">the applications supply chain. </w:t>
      </w:r>
      <w:r w:rsidRPr="00122AA1">
        <w:rPr>
          <w:rFonts w:ascii="Arial" w:hAnsi="Arial" w:cs="Arial"/>
        </w:rPr>
        <w:t>For example, the GSM Association (GSMA) has developed high-level principles for protection of privacy on mobile networks, devices and apps. These include:</w:t>
      </w:r>
    </w:p>
    <w:p w:rsidR="002A05A8" w:rsidRPr="00122AA1" w:rsidRDefault="002A05A8" w:rsidP="00827049">
      <w:pPr>
        <w:pStyle w:val="ListBullet"/>
        <w:tabs>
          <w:tab w:val="clear" w:pos="295"/>
          <w:tab w:val="num" w:pos="-62"/>
          <w:tab w:val="num" w:pos="717"/>
        </w:tabs>
        <w:ind w:left="357" w:hanging="357"/>
        <w:rPr>
          <w:rFonts w:ascii="Arial" w:hAnsi="Arial" w:cs="Arial"/>
        </w:rPr>
      </w:pPr>
      <w:r w:rsidRPr="00122AA1">
        <w:rPr>
          <w:rFonts w:ascii="Arial" w:hAnsi="Arial" w:cs="Arial"/>
        </w:rPr>
        <w:t>Data minimisation and retention—only the minimum personal information necessary to meet legitimate business purposes and to deliver, provision, maintain or develop apps and services should be collected and otherwise accessed and used. Personal information must not be kept for longer than is necessary for those legitimate business purposes or to meet legal obligations and should subsequently be deleted or rendered anonymous.</w:t>
      </w:r>
    </w:p>
    <w:p w:rsidR="002A05A8" w:rsidRPr="00122AA1" w:rsidRDefault="002A05A8" w:rsidP="006E0C81">
      <w:pPr>
        <w:pStyle w:val="ListBullet"/>
        <w:tabs>
          <w:tab w:val="clear" w:pos="295"/>
          <w:tab w:val="num" w:pos="-62"/>
          <w:tab w:val="num" w:pos="717"/>
        </w:tabs>
        <w:spacing w:after="240"/>
        <w:ind w:left="357" w:hanging="357"/>
        <w:rPr>
          <w:rFonts w:ascii="Arial" w:hAnsi="Arial" w:cs="Arial"/>
        </w:rPr>
      </w:pPr>
      <w:r w:rsidRPr="00122AA1">
        <w:rPr>
          <w:rFonts w:ascii="Arial" w:hAnsi="Arial" w:cs="Arial"/>
        </w:rPr>
        <w:t>Children and adolescents—an application or service that is directed at children and adolescents should ensure that the collection, access and use of personal information are appropriate in all given circumstances and compatible with national law.</w:t>
      </w:r>
    </w:p>
    <w:p w:rsidR="00FB77B6" w:rsidRPr="00122AA1" w:rsidRDefault="002A05A8" w:rsidP="006E0C81">
      <w:pPr>
        <w:spacing w:after="240"/>
        <w:rPr>
          <w:rFonts w:ascii="Arial" w:hAnsi="Arial" w:cs="Arial"/>
        </w:rPr>
      </w:pPr>
      <w:r w:rsidRPr="00122AA1">
        <w:rPr>
          <w:rFonts w:ascii="Arial" w:hAnsi="Arial" w:cs="Arial"/>
        </w:rPr>
        <w:t>Recognising the growing significance of mobile location information as personal data, a group of industry participants</w:t>
      </w:r>
      <w:r w:rsidR="00253D8F" w:rsidRPr="00122AA1">
        <w:rPr>
          <w:rFonts w:ascii="Arial" w:hAnsi="Arial" w:cs="Arial"/>
        </w:rPr>
        <w:t xml:space="preserve"> has formed The Location Forum.</w:t>
      </w:r>
      <w:r w:rsidRPr="00122AA1">
        <w:rPr>
          <w:rFonts w:ascii="Arial" w:hAnsi="Arial" w:cs="Arial"/>
        </w:rPr>
        <w:t xml:space="preserve"> This group has recently published Location Data Privacy: Guidelines and Assessment Recommendations which aims to inform collectors and users of location data about the range of privacy risks associated with it and foster approaches which reduce these risks and address individuals’ potential concerns.</w:t>
      </w:r>
    </w:p>
    <w:p w:rsidR="00FB77B6" w:rsidRPr="00122AA1" w:rsidRDefault="004867D8" w:rsidP="002A05A8">
      <w:pPr>
        <w:rPr>
          <w:rFonts w:ascii="Arial" w:hAnsi="Arial" w:cs="Arial"/>
        </w:rPr>
      </w:pPr>
      <w:r w:rsidRPr="00122AA1">
        <w:rPr>
          <w:rFonts w:ascii="Arial" w:hAnsi="Arial" w:cs="Arial"/>
        </w:rPr>
        <w:t>The Internet Industry Asso</w:t>
      </w:r>
      <w:r w:rsidR="00423B17" w:rsidRPr="00122AA1">
        <w:rPr>
          <w:rFonts w:ascii="Arial" w:hAnsi="Arial" w:cs="Arial"/>
        </w:rPr>
        <w:t>c</w:t>
      </w:r>
      <w:r w:rsidRPr="00122AA1">
        <w:rPr>
          <w:rFonts w:ascii="Arial" w:hAnsi="Arial" w:cs="Arial"/>
        </w:rPr>
        <w:t>iation’s iCode is another self-regulatory initiative, which addresses e-security and cybercrime-related threats to personal data.</w:t>
      </w:r>
      <w:r w:rsidR="000C08CB" w:rsidRPr="00122AA1">
        <w:rPr>
          <w:rFonts w:ascii="Arial" w:hAnsi="Arial" w:cs="Arial"/>
        </w:rPr>
        <w:t xml:space="preserve"> It sets out a range of actions that participating ISPs may take to protect their customers from malicious activities that may </w:t>
      </w:r>
      <w:r w:rsidR="00253D8F" w:rsidRPr="00122AA1">
        <w:rPr>
          <w:rFonts w:ascii="Arial" w:hAnsi="Arial" w:cs="Arial"/>
        </w:rPr>
        <w:t xml:space="preserve">jeopardise customers’ privacy. </w:t>
      </w:r>
      <w:r w:rsidR="003337BC" w:rsidRPr="00122AA1">
        <w:rPr>
          <w:rFonts w:ascii="Arial" w:hAnsi="Arial" w:cs="Arial"/>
        </w:rPr>
        <w:t>Participation in the ACMA’s Australian Internet Security Initiative (AISI) is one of the code’s main elements. The AISI collects data from various s</w:t>
      </w:r>
      <w:r w:rsidR="00253D8F" w:rsidRPr="00122AA1">
        <w:rPr>
          <w:rFonts w:ascii="Arial" w:hAnsi="Arial" w:cs="Arial"/>
        </w:rPr>
        <w:t>ources on computers exhibiting ‘bot’</w:t>
      </w:r>
      <w:r w:rsidR="003337BC" w:rsidRPr="00122AA1">
        <w:rPr>
          <w:rFonts w:ascii="Arial" w:hAnsi="Arial" w:cs="Arial"/>
        </w:rPr>
        <w:t xml:space="preserve"> behaviour on the Australian internet. Using this data, the ACMA provides daily reports to ISPs identifying IP addresses of compromised computers on their networks. ISPs then inform their customer of the compromise and advise them how to fix their computer.</w:t>
      </w:r>
    </w:p>
    <w:p w:rsidR="002A05A8" w:rsidRPr="00122AA1" w:rsidRDefault="002A05A8" w:rsidP="002A05A8">
      <w:pPr>
        <w:rPr>
          <w:rFonts w:ascii="Arial" w:hAnsi="Arial" w:cs="Arial"/>
        </w:rPr>
      </w:pPr>
    </w:p>
    <w:p w:rsidR="006F4E60" w:rsidRPr="00122AA1" w:rsidRDefault="00675636" w:rsidP="00193BC4">
      <w:pPr>
        <w:rPr>
          <w:rFonts w:ascii="Arial" w:hAnsi="Arial" w:cs="Arial"/>
        </w:rPr>
      </w:pPr>
      <w:r w:rsidRPr="00122AA1">
        <w:rPr>
          <w:rFonts w:ascii="Arial" w:hAnsi="Arial" w:cs="Arial"/>
        </w:rPr>
        <w:t>It is notable that in such an innovative environment of personal information practices that there are disparate industry efforts to promote good personal data man</w:t>
      </w:r>
      <w:r w:rsidR="00253D8F" w:rsidRPr="00122AA1">
        <w:rPr>
          <w:rFonts w:ascii="Arial" w:hAnsi="Arial" w:cs="Arial"/>
        </w:rPr>
        <w:t xml:space="preserve">agement and privacy practices. </w:t>
      </w:r>
      <w:r w:rsidRPr="00122AA1">
        <w:rPr>
          <w:rFonts w:ascii="Arial" w:hAnsi="Arial" w:cs="Arial"/>
        </w:rPr>
        <w:t>There is a continuing risk that the separate efforts dilute the benefits for citizens and industry, where there is no overarching coherent fra</w:t>
      </w:r>
      <w:r w:rsidR="00253D8F" w:rsidRPr="00122AA1">
        <w:rPr>
          <w:rFonts w:ascii="Arial" w:hAnsi="Arial" w:cs="Arial"/>
        </w:rPr>
        <w:t xml:space="preserve">mework to guide their efforts. </w:t>
      </w:r>
      <w:r w:rsidRPr="00122AA1">
        <w:rPr>
          <w:rFonts w:ascii="Arial" w:hAnsi="Arial" w:cs="Arial"/>
        </w:rPr>
        <w:t xml:space="preserve">Another important component to the </w:t>
      </w:r>
      <w:r w:rsidR="002A05A8" w:rsidRPr="00122AA1">
        <w:rPr>
          <w:rFonts w:ascii="Arial" w:hAnsi="Arial" w:cs="Arial"/>
        </w:rPr>
        <w:t>success of industry self-regulatory approaches is likely to be effective mechanisms that hold industry participants accountable for comp</w:t>
      </w:r>
      <w:r w:rsidR="004867D8" w:rsidRPr="00122AA1">
        <w:rPr>
          <w:rFonts w:ascii="Arial" w:hAnsi="Arial" w:cs="Arial"/>
        </w:rPr>
        <w:t>liance. E</w:t>
      </w:r>
      <w:r w:rsidR="002A05A8" w:rsidRPr="00122AA1">
        <w:rPr>
          <w:rFonts w:ascii="Arial" w:hAnsi="Arial" w:cs="Arial"/>
        </w:rPr>
        <w:t>xperience with the MPS market has shown that self-regulatory arrangements may not be effective, if there are strong financial incentives to not comply with self-regulatory measures</w:t>
      </w:r>
      <w:r w:rsidRPr="00122AA1">
        <w:rPr>
          <w:rFonts w:ascii="Arial" w:hAnsi="Arial" w:cs="Arial"/>
        </w:rPr>
        <w:t>.</w:t>
      </w:r>
    </w:p>
    <w:p w:rsidR="00193BC4" w:rsidRPr="00122AA1" w:rsidRDefault="00193BC4" w:rsidP="00193BC4">
      <w:pPr>
        <w:rPr>
          <w:rFonts w:ascii="Arial" w:hAnsi="Arial" w:cs="Arial"/>
        </w:rPr>
      </w:pPr>
    </w:p>
    <w:p w:rsidR="00F27D96" w:rsidRPr="00122AA1" w:rsidRDefault="00B11D1F" w:rsidP="00F27D96">
      <w:pPr>
        <w:pStyle w:val="Heading2"/>
        <w:rPr>
          <w:rFonts w:ascii="Arial" w:hAnsi="Arial"/>
        </w:rPr>
      </w:pPr>
      <w:bookmarkStart w:id="47" w:name="_Toc359574780"/>
      <w:r w:rsidRPr="00122AA1">
        <w:rPr>
          <w:rFonts w:ascii="Arial" w:hAnsi="Arial"/>
        </w:rPr>
        <w:t>Direct regulation will continue to play an important role where it can be meaningfully applied</w:t>
      </w:r>
      <w:bookmarkEnd w:id="47"/>
    </w:p>
    <w:p w:rsidR="00675636" w:rsidRPr="00122AA1" w:rsidRDefault="005C2285" w:rsidP="005C2285">
      <w:pPr>
        <w:rPr>
          <w:rFonts w:ascii="Arial" w:hAnsi="Arial" w:cs="Arial"/>
        </w:rPr>
      </w:pPr>
      <w:r w:rsidRPr="00122AA1">
        <w:rPr>
          <w:rFonts w:ascii="Arial" w:hAnsi="Arial" w:cs="Arial"/>
        </w:rPr>
        <w:t>Existing privacy interventions have a strong regulatory emphasis and it is likely that regulation will continue to play an important role in holding organisations accountable for privacy outcomes</w:t>
      </w:r>
      <w:r w:rsidR="00675636" w:rsidRPr="00122AA1">
        <w:rPr>
          <w:rFonts w:ascii="Arial" w:hAnsi="Arial" w:cs="Arial"/>
        </w:rPr>
        <w:t xml:space="preserve"> and promoting confidence in global governance arrangements where digital data is exchanged globally</w:t>
      </w:r>
      <w:r w:rsidR="00253D8F" w:rsidRPr="00122AA1">
        <w:rPr>
          <w:rFonts w:ascii="Arial" w:hAnsi="Arial" w:cs="Arial"/>
        </w:rPr>
        <w:t>.</w:t>
      </w:r>
    </w:p>
    <w:p w:rsidR="00675636" w:rsidRPr="00122AA1" w:rsidRDefault="00675636" w:rsidP="005C2285">
      <w:pPr>
        <w:rPr>
          <w:rFonts w:ascii="Arial" w:hAnsi="Arial" w:cs="Arial"/>
        </w:rPr>
      </w:pPr>
    </w:p>
    <w:p w:rsidR="005C2285" w:rsidRPr="00122AA1" w:rsidRDefault="005C2285" w:rsidP="005C2285">
      <w:pPr>
        <w:rPr>
          <w:rFonts w:ascii="Arial" w:hAnsi="Arial" w:cs="Arial"/>
        </w:rPr>
      </w:pPr>
      <w:r w:rsidRPr="00122AA1">
        <w:rPr>
          <w:rFonts w:ascii="Arial" w:hAnsi="Arial" w:cs="Arial"/>
        </w:rPr>
        <w:t xml:space="preserve">To date, personal data protection issues have been addressed by a mix of measures administered by a number of different bodies. </w:t>
      </w:r>
      <w:r w:rsidR="00B14269" w:rsidRPr="00122AA1">
        <w:rPr>
          <w:rFonts w:ascii="Arial" w:hAnsi="Arial" w:cs="Arial"/>
        </w:rPr>
        <w:t xml:space="preserve">Alongside </w:t>
      </w:r>
      <w:r w:rsidRPr="00122AA1">
        <w:rPr>
          <w:rFonts w:ascii="Arial" w:hAnsi="Arial" w:cs="Arial"/>
        </w:rPr>
        <w:t xml:space="preserve">the national privacy framework administered by the </w:t>
      </w:r>
      <w:r w:rsidR="00161A53" w:rsidRPr="00122AA1">
        <w:rPr>
          <w:rFonts w:ascii="Arial" w:hAnsi="Arial" w:cs="Arial"/>
        </w:rPr>
        <w:t>AGD and OAIC</w:t>
      </w:r>
      <w:r w:rsidRPr="00122AA1">
        <w:rPr>
          <w:rFonts w:ascii="Arial" w:hAnsi="Arial" w:cs="Arial"/>
        </w:rPr>
        <w:t>, the ACMA administers a range of privacy safeguards specific to media and communications-related matters.</w:t>
      </w:r>
    </w:p>
    <w:p w:rsidR="00493BED" w:rsidRPr="00122AA1" w:rsidRDefault="00493BED" w:rsidP="005C2285">
      <w:pPr>
        <w:rPr>
          <w:rFonts w:ascii="Arial" w:hAnsi="Arial" w:cs="Arial"/>
        </w:rPr>
      </w:pPr>
    </w:p>
    <w:p w:rsidR="00675636" w:rsidRPr="00122AA1" w:rsidRDefault="00493BED" w:rsidP="00675636">
      <w:pPr>
        <w:rPr>
          <w:rFonts w:ascii="Arial" w:hAnsi="Arial" w:cs="Arial"/>
        </w:rPr>
      </w:pPr>
      <w:r w:rsidRPr="00122AA1">
        <w:rPr>
          <w:rFonts w:ascii="Arial" w:hAnsi="Arial" w:cs="Arial"/>
        </w:rPr>
        <w:t>While the growing complexity of the digital environment may be undermining the effectiveness of some direct regulatory measures, direct regulatory approaches may continue to be effective in addressing specific problems</w:t>
      </w:r>
      <w:r w:rsidR="00675636" w:rsidRPr="00122AA1">
        <w:rPr>
          <w:rFonts w:ascii="Arial" w:hAnsi="Arial" w:cs="Arial"/>
        </w:rPr>
        <w:t>. Regulators in a number of jurisdictions have already moved to tighten privacy online privacy safeguards, or signalled the poss</w:t>
      </w:r>
      <w:r w:rsidR="00253D8F" w:rsidRPr="00122AA1">
        <w:rPr>
          <w:rFonts w:ascii="Arial" w:hAnsi="Arial" w:cs="Arial"/>
        </w:rPr>
        <w:t xml:space="preserve">ibility of taking such action. </w:t>
      </w:r>
      <w:r w:rsidR="00675636" w:rsidRPr="00122AA1">
        <w:rPr>
          <w:rFonts w:ascii="Arial" w:hAnsi="Arial" w:cs="Arial"/>
        </w:rPr>
        <w:t>Regulation of the use of cookies in the European Union, introduced in 2012, is an example of increased di</w:t>
      </w:r>
      <w:r w:rsidR="00253D8F" w:rsidRPr="00122AA1">
        <w:rPr>
          <w:rFonts w:ascii="Arial" w:hAnsi="Arial" w:cs="Arial"/>
        </w:rPr>
        <w:t xml:space="preserve">rect regulation being applied. </w:t>
      </w:r>
      <w:r w:rsidR="00675636" w:rsidRPr="00122AA1">
        <w:rPr>
          <w:rFonts w:ascii="Arial" w:hAnsi="Arial" w:cs="Arial"/>
        </w:rPr>
        <w:t>In the United States, the Federal Trade Commission’s inquiry into privacy issues associated with ‘the internet of things’ raises the possibility of increased regulation.</w:t>
      </w:r>
      <w:r w:rsidR="00675636" w:rsidRPr="00122AA1">
        <w:rPr>
          <w:rStyle w:val="FootnoteReference"/>
          <w:rFonts w:cs="Arial"/>
        </w:rPr>
        <w:footnoteReference w:id="39"/>
      </w:r>
    </w:p>
    <w:p w:rsidR="00493BED" w:rsidRPr="00122AA1" w:rsidRDefault="00675636" w:rsidP="00493BED">
      <w:pPr>
        <w:rPr>
          <w:rFonts w:ascii="Arial" w:hAnsi="Arial" w:cs="Arial"/>
        </w:rPr>
      </w:pPr>
      <w:r w:rsidRPr="00122AA1">
        <w:rPr>
          <w:rFonts w:ascii="Arial" w:hAnsi="Arial" w:cs="Arial"/>
        </w:rPr>
        <w:t xml:space="preserve"> </w:t>
      </w:r>
    </w:p>
    <w:p w:rsidR="002D0E35" w:rsidRPr="00122AA1" w:rsidRDefault="002D0E35" w:rsidP="0065418E">
      <w:pPr>
        <w:rPr>
          <w:rFonts w:ascii="Arial" w:hAnsi="Arial" w:cs="Arial"/>
        </w:rPr>
      </w:pPr>
      <w:r w:rsidRPr="00122AA1">
        <w:rPr>
          <w:rFonts w:ascii="Arial" w:hAnsi="Arial" w:cs="Arial"/>
        </w:rPr>
        <w:t xml:space="preserve">Given the global structure of the personal data environment, international collaboration is likely to play an important role in ensuring that </w:t>
      </w:r>
      <w:r w:rsidR="00A712DD" w:rsidRPr="00122AA1">
        <w:rPr>
          <w:rFonts w:ascii="Arial" w:hAnsi="Arial" w:cs="Arial"/>
        </w:rPr>
        <w:t>efficient and consistent approaches to privacy and pe</w:t>
      </w:r>
      <w:r w:rsidR="00253D8F" w:rsidRPr="00122AA1">
        <w:rPr>
          <w:rFonts w:ascii="Arial" w:hAnsi="Arial" w:cs="Arial"/>
        </w:rPr>
        <w:t xml:space="preserve">rsonal information protection. </w:t>
      </w:r>
      <w:r w:rsidR="00A712DD" w:rsidRPr="00122AA1">
        <w:rPr>
          <w:rFonts w:ascii="Arial" w:hAnsi="Arial" w:cs="Arial"/>
        </w:rPr>
        <w:t xml:space="preserve">The development of international frameworks for the protection of citizens’ personal data attempts to provide international consistency in this area, and to avoid regulatory anomalies that might otherwise arise when data collection, storage and processing activities take place across two or more jurisdictions. </w:t>
      </w:r>
    </w:p>
    <w:p w:rsidR="00B55EC7" w:rsidRPr="00122AA1" w:rsidRDefault="00B55EC7" w:rsidP="0097676B">
      <w:pPr>
        <w:rPr>
          <w:rFonts w:ascii="Arial" w:hAnsi="Arial" w:cs="Arial"/>
        </w:rPr>
      </w:pPr>
    </w:p>
    <w:p w:rsidR="0065418E" w:rsidRPr="00122AA1" w:rsidRDefault="004944FA" w:rsidP="0097676B">
      <w:pPr>
        <w:rPr>
          <w:rFonts w:ascii="Arial" w:hAnsi="Arial" w:cs="Arial"/>
        </w:rPr>
      </w:pPr>
      <w:r w:rsidRPr="00122AA1">
        <w:rPr>
          <w:rFonts w:ascii="Arial" w:hAnsi="Arial" w:cs="Arial"/>
        </w:rPr>
        <w:t xml:space="preserve">Measures to address data breaches are </w:t>
      </w:r>
      <w:r w:rsidR="00493BED" w:rsidRPr="00122AA1">
        <w:rPr>
          <w:rFonts w:ascii="Arial" w:hAnsi="Arial" w:cs="Arial"/>
        </w:rPr>
        <w:t xml:space="preserve">another </w:t>
      </w:r>
      <w:r w:rsidRPr="00122AA1">
        <w:rPr>
          <w:rFonts w:ascii="Arial" w:hAnsi="Arial" w:cs="Arial"/>
        </w:rPr>
        <w:t>example</w:t>
      </w:r>
      <w:r w:rsidR="00D72059" w:rsidRPr="00122AA1">
        <w:rPr>
          <w:rFonts w:ascii="Arial" w:hAnsi="Arial" w:cs="Arial"/>
        </w:rPr>
        <w:t xml:space="preserve"> of </w:t>
      </w:r>
      <w:r w:rsidR="00493BED" w:rsidRPr="00122AA1">
        <w:rPr>
          <w:rFonts w:ascii="Arial" w:hAnsi="Arial" w:cs="Arial"/>
        </w:rPr>
        <w:t xml:space="preserve">where </w:t>
      </w:r>
      <w:r w:rsidR="00D72059" w:rsidRPr="00122AA1">
        <w:rPr>
          <w:rFonts w:ascii="Arial" w:hAnsi="Arial" w:cs="Arial"/>
        </w:rPr>
        <w:t xml:space="preserve">direct regulation may continue to </w:t>
      </w:r>
      <w:r w:rsidR="00DD2141" w:rsidRPr="00122AA1">
        <w:rPr>
          <w:rFonts w:ascii="Arial" w:hAnsi="Arial" w:cs="Arial"/>
        </w:rPr>
        <w:t>play an important role in protecting personal data</w:t>
      </w:r>
      <w:r w:rsidR="001D62B1" w:rsidRPr="00122AA1">
        <w:rPr>
          <w:rFonts w:ascii="Arial" w:hAnsi="Arial" w:cs="Arial"/>
        </w:rPr>
        <w:t xml:space="preserve">. </w:t>
      </w:r>
      <w:r w:rsidR="00D72059" w:rsidRPr="00122AA1">
        <w:rPr>
          <w:rFonts w:ascii="Arial" w:hAnsi="Arial" w:cs="Arial"/>
        </w:rPr>
        <w:t xml:space="preserve">A data breach notification regime that provides strong incentives </w:t>
      </w:r>
      <w:r w:rsidR="00B11D1F" w:rsidRPr="00122AA1">
        <w:rPr>
          <w:rFonts w:ascii="Arial" w:hAnsi="Arial" w:cs="Arial"/>
        </w:rPr>
        <w:t xml:space="preserve">to protect citizens’ data </w:t>
      </w:r>
      <w:r w:rsidR="00D72059" w:rsidRPr="00122AA1">
        <w:rPr>
          <w:rFonts w:ascii="Arial" w:hAnsi="Arial" w:cs="Arial"/>
        </w:rPr>
        <w:t xml:space="preserve">would </w:t>
      </w:r>
      <w:r w:rsidR="00DD2141" w:rsidRPr="00122AA1">
        <w:rPr>
          <w:rFonts w:ascii="Arial" w:hAnsi="Arial" w:cs="Arial"/>
        </w:rPr>
        <w:t xml:space="preserve">therefore </w:t>
      </w:r>
      <w:r w:rsidR="00D72059" w:rsidRPr="00122AA1">
        <w:rPr>
          <w:rFonts w:ascii="Arial" w:hAnsi="Arial" w:cs="Arial"/>
        </w:rPr>
        <w:t>contribute to achievement of sound privacy outcomes</w:t>
      </w:r>
      <w:r w:rsidR="004368BA" w:rsidRPr="00122AA1">
        <w:rPr>
          <w:rFonts w:ascii="Arial" w:hAnsi="Arial" w:cs="Arial"/>
        </w:rPr>
        <w:t>. The recent introduction into the Parliament of the Privacy Amendm</w:t>
      </w:r>
      <w:r w:rsidR="007078D5" w:rsidRPr="00122AA1">
        <w:rPr>
          <w:rFonts w:ascii="Arial" w:hAnsi="Arial" w:cs="Arial"/>
        </w:rPr>
        <w:t xml:space="preserve">ent (Privacy Alerts) Bill 2013, </w:t>
      </w:r>
      <w:r w:rsidR="004368BA" w:rsidRPr="00122AA1">
        <w:rPr>
          <w:rFonts w:ascii="Arial" w:hAnsi="Arial" w:cs="Arial"/>
        </w:rPr>
        <w:t xml:space="preserve">would </w:t>
      </w:r>
      <w:r w:rsidR="00DD2141" w:rsidRPr="00122AA1">
        <w:rPr>
          <w:rFonts w:ascii="Arial" w:hAnsi="Arial" w:cs="Arial"/>
        </w:rPr>
        <w:t xml:space="preserve">establish such a mechanism </w:t>
      </w:r>
      <w:r w:rsidR="003D5F60" w:rsidRPr="00122AA1">
        <w:rPr>
          <w:rFonts w:ascii="Arial" w:hAnsi="Arial" w:cs="Arial"/>
        </w:rPr>
        <w:t>to protect</w:t>
      </w:r>
      <w:r w:rsidR="007078D5" w:rsidRPr="00122AA1">
        <w:rPr>
          <w:rFonts w:ascii="Arial" w:hAnsi="Arial" w:cs="Arial"/>
        </w:rPr>
        <w:t xml:space="preserve"> Australian citizens. </w:t>
      </w:r>
    </w:p>
    <w:p w:rsidR="0065418E" w:rsidRPr="00122AA1" w:rsidRDefault="0065418E" w:rsidP="0097676B">
      <w:pPr>
        <w:rPr>
          <w:rFonts w:ascii="Arial" w:hAnsi="Arial" w:cs="Arial"/>
        </w:rPr>
      </w:pPr>
    </w:p>
    <w:p w:rsidR="009305F3" w:rsidRPr="00122AA1" w:rsidRDefault="007078D5" w:rsidP="0097676B">
      <w:pPr>
        <w:rPr>
          <w:rFonts w:ascii="Arial" w:hAnsi="Arial" w:cs="Arial"/>
        </w:rPr>
      </w:pPr>
      <w:r w:rsidRPr="00122AA1">
        <w:rPr>
          <w:rFonts w:ascii="Arial" w:hAnsi="Arial" w:cs="Arial"/>
        </w:rPr>
        <w:t xml:space="preserve">Privacy and personal data considerations </w:t>
      </w:r>
      <w:r w:rsidR="0001629F" w:rsidRPr="00122AA1">
        <w:rPr>
          <w:rFonts w:ascii="Arial" w:hAnsi="Arial" w:cs="Arial"/>
        </w:rPr>
        <w:t>pose a</w:t>
      </w:r>
      <w:r w:rsidRPr="00122AA1">
        <w:rPr>
          <w:rFonts w:ascii="Arial" w:hAnsi="Arial" w:cs="Arial"/>
        </w:rPr>
        <w:t xml:space="preserve"> range of </w:t>
      </w:r>
      <w:r w:rsidR="0001629F" w:rsidRPr="00122AA1">
        <w:rPr>
          <w:rFonts w:ascii="Arial" w:hAnsi="Arial" w:cs="Arial"/>
        </w:rPr>
        <w:t xml:space="preserve">regulatory </w:t>
      </w:r>
      <w:r w:rsidRPr="00122AA1">
        <w:rPr>
          <w:rFonts w:ascii="Arial" w:hAnsi="Arial" w:cs="Arial"/>
        </w:rPr>
        <w:t xml:space="preserve">issues that </w:t>
      </w:r>
      <w:r w:rsidR="00343A80" w:rsidRPr="00122AA1">
        <w:rPr>
          <w:rFonts w:ascii="Arial" w:hAnsi="Arial" w:cs="Arial"/>
        </w:rPr>
        <w:t xml:space="preserve">need to be transitioned to the evolving </w:t>
      </w:r>
      <w:r w:rsidR="001D62B1" w:rsidRPr="00122AA1">
        <w:rPr>
          <w:rFonts w:ascii="Arial" w:hAnsi="Arial" w:cs="Arial"/>
        </w:rPr>
        <w:t xml:space="preserve">networked digital environment. </w:t>
      </w:r>
      <w:r w:rsidR="00343A80" w:rsidRPr="00122AA1">
        <w:rPr>
          <w:rFonts w:ascii="Arial" w:hAnsi="Arial" w:cs="Arial"/>
        </w:rPr>
        <w:t>As the range of social and economic activities being undertaken online increases, so too does the volume of personal data being collected, store</w:t>
      </w:r>
      <w:r w:rsidR="001D62B1" w:rsidRPr="00122AA1">
        <w:rPr>
          <w:rFonts w:ascii="Arial" w:hAnsi="Arial" w:cs="Arial"/>
        </w:rPr>
        <w:t xml:space="preserve">d and shared online. </w:t>
      </w:r>
      <w:r w:rsidR="00343A80" w:rsidRPr="00122AA1">
        <w:rPr>
          <w:rFonts w:ascii="Arial" w:hAnsi="Arial" w:cs="Arial"/>
        </w:rPr>
        <w:t>The varied contexts in which these practices occur will require safeguards that are tailored to the specific</w:t>
      </w:r>
      <w:r w:rsidR="0001629F" w:rsidRPr="00122AA1">
        <w:rPr>
          <w:rFonts w:ascii="Arial" w:hAnsi="Arial" w:cs="Arial"/>
        </w:rPr>
        <w:t xml:space="preserve"> contexts in</w:t>
      </w:r>
      <w:r w:rsidR="001D62B1" w:rsidRPr="00122AA1">
        <w:rPr>
          <w:rFonts w:ascii="Arial" w:hAnsi="Arial" w:cs="Arial"/>
        </w:rPr>
        <w:t xml:space="preserve"> which privacy concerns arise. </w:t>
      </w:r>
      <w:r w:rsidR="0001629F" w:rsidRPr="00122AA1">
        <w:rPr>
          <w:rFonts w:ascii="Arial" w:hAnsi="Arial" w:cs="Arial"/>
        </w:rPr>
        <w:t xml:space="preserve">However, stakeholders will expect and benefit from a coherent regulatory framework which </w:t>
      </w:r>
      <w:r w:rsidR="00C73C14" w:rsidRPr="00122AA1">
        <w:rPr>
          <w:rFonts w:ascii="Arial" w:hAnsi="Arial" w:cs="Arial"/>
        </w:rPr>
        <w:t>facilitates the development of</w:t>
      </w:r>
      <w:r w:rsidR="0018072F" w:rsidRPr="00122AA1">
        <w:rPr>
          <w:rFonts w:ascii="Arial" w:hAnsi="Arial" w:cs="Arial"/>
        </w:rPr>
        <w:t xml:space="preserve"> logical and predictable outcomes.</w:t>
      </w:r>
    </w:p>
    <w:p w:rsidR="00367670" w:rsidRPr="00122AA1" w:rsidRDefault="009305F3" w:rsidP="009305F3">
      <w:pPr>
        <w:pStyle w:val="Heading1"/>
        <w:rPr>
          <w:rFonts w:ascii="Arial" w:hAnsi="Arial"/>
        </w:rPr>
      </w:pPr>
      <w:bookmarkStart w:id="48" w:name="_Toc359574781"/>
      <w:r w:rsidRPr="00122AA1">
        <w:rPr>
          <w:rFonts w:ascii="Arial" w:hAnsi="Arial"/>
        </w:rPr>
        <w:t>Conclusion</w:t>
      </w:r>
      <w:bookmarkEnd w:id="48"/>
    </w:p>
    <w:p w:rsidR="00682677" w:rsidRPr="00122AA1" w:rsidRDefault="000F34B6" w:rsidP="00682677">
      <w:pPr>
        <w:rPr>
          <w:rFonts w:ascii="Arial" w:hAnsi="Arial" w:cs="Arial"/>
        </w:rPr>
      </w:pPr>
      <w:r w:rsidRPr="00122AA1">
        <w:rPr>
          <w:rFonts w:ascii="Arial" w:hAnsi="Arial" w:cs="Arial"/>
        </w:rPr>
        <w:t>Digital data is the curren</w:t>
      </w:r>
      <w:r w:rsidR="003B2A6A" w:rsidRPr="00122AA1">
        <w:rPr>
          <w:rFonts w:ascii="Arial" w:hAnsi="Arial" w:cs="Arial"/>
        </w:rPr>
        <w:t xml:space="preserve">cy </w:t>
      </w:r>
      <w:r w:rsidRPr="00122AA1">
        <w:rPr>
          <w:rFonts w:ascii="Arial" w:hAnsi="Arial" w:cs="Arial"/>
        </w:rPr>
        <w:t>of social and economic transa</w:t>
      </w:r>
      <w:r w:rsidR="00FA3C19" w:rsidRPr="00122AA1">
        <w:rPr>
          <w:rFonts w:ascii="Arial" w:hAnsi="Arial" w:cs="Arial"/>
        </w:rPr>
        <w:t>c</w:t>
      </w:r>
      <w:r w:rsidRPr="00122AA1">
        <w:rPr>
          <w:rFonts w:ascii="Arial" w:hAnsi="Arial" w:cs="Arial"/>
        </w:rPr>
        <w:t>tions in the networked so</w:t>
      </w:r>
      <w:r w:rsidR="001D62B1" w:rsidRPr="00122AA1">
        <w:rPr>
          <w:rFonts w:ascii="Arial" w:hAnsi="Arial" w:cs="Arial"/>
        </w:rPr>
        <w:t xml:space="preserve">ciety and information economy. </w:t>
      </w:r>
      <w:r w:rsidRPr="00122AA1">
        <w:rPr>
          <w:rFonts w:ascii="Arial" w:hAnsi="Arial" w:cs="Arial"/>
        </w:rPr>
        <w:t>Key</w:t>
      </w:r>
      <w:r w:rsidR="00CE4F23" w:rsidRPr="00122AA1">
        <w:rPr>
          <w:rFonts w:ascii="Arial" w:hAnsi="Arial" w:cs="Arial"/>
        </w:rPr>
        <w:t xml:space="preserve"> developments that include high-</w:t>
      </w:r>
      <w:r w:rsidRPr="00122AA1">
        <w:rPr>
          <w:rFonts w:ascii="Arial" w:hAnsi="Arial" w:cs="Arial"/>
        </w:rPr>
        <w:t xml:space="preserve">speed network connections, increases in computing processing power and data analytics have supported increasing volumes of personal </w:t>
      </w:r>
      <w:r w:rsidR="003B2A6A" w:rsidRPr="00122AA1">
        <w:rPr>
          <w:rFonts w:ascii="Arial" w:hAnsi="Arial" w:cs="Arial"/>
        </w:rPr>
        <w:t xml:space="preserve">information </w:t>
      </w:r>
      <w:r w:rsidRPr="00122AA1">
        <w:rPr>
          <w:rFonts w:ascii="Arial" w:hAnsi="Arial" w:cs="Arial"/>
        </w:rPr>
        <w:t>being created, stored and analysed. These developments are also broadening the concept of what personal information means in a digital data environment. It not only includes information that is volunteered and observed about an individual, but also includes inferred information about personal behaviours and preferences.</w:t>
      </w:r>
    </w:p>
    <w:p w:rsidR="000F34B6" w:rsidRPr="00122AA1" w:rsidRDefault="000F34B6" w:rsidP="00682677">
      <w:pPr>
        <w:rPr>
          <w:rFonts w:ascii="Arial" w:hAnsi="Arial" w:cs="Arial"/>
        </w:rPr>
      </w:pPr>
    </w:p>
    <w:p w:rsidR="000F34B6" w:rsidRPr="00122AA1" w:rsidRDefault="00A717B8" w:rsidP="00682677">
      <w:pPr>
        <w:rPr>
          <w:rFonts w:ascii="Arial" w:hAnsi="Arial" w:cs="Arial"/>
        </w:rPr>
      </w:pPr>
      <w:r w:rsidRPr="00122AA1">
        <w:rPr>
          <w:rFonts w:ascii="Arial" w:hAnsi="Arial" w:cs="Arial"/>
        </w:rPr>
        <w:t xml:space="preserve">With these changing practices in the treatment of personal information in a digital data environment comes a widening set of consumer and citizen concerns about data </w:t>
      </w:r>
      <w:r w:rsidR="001D62B1" w:rsidRPr="00122AA1">
        <w:rPr>
          <w:rFonts w:ascii="Arial" w:hAnsi="Arial" w:cs="Arial"/>
        </w:rPr>
        <w:t xml:space="preserve">storage and sharing practices. </w:t>
      </w:r>
      <w:r w:rsidRPr="00122AA1">
        <w:rPr>
          <w:rFonts w:ascii="Arial" w:hAnsi="Arial" w:cs="Arial"/>
        </w:rPr>
        <w:t>But citizens have a continuing expectation that industry participants and government also assist them in managing their personal information in this environment.</w:t>
      </w:r>
    </w:p>
    <w:p w:rsidR="000F34B6" w:rsidRPr="00122AA1" w:rsidRDefault="000F34B6" w:rsidP="00682677">
      <w:pPr>
        <w:rPr>
          <w:rFonts w:ascii="Arial" w:hAnsi="Arial" w:cs="Arial"/>
        </w:rPr>
      </w:pPr>
    </w:p>
    <w:p w:rsidR="00F55822" w:rsidRPr="00122AA1" w:rsidRDefault="00A717B8" w:rsidP="00682677">
      <w:pPr>
        <w:rPr>
          <w:rFonts w:ascii="Arial" w:hAnsi="Arial" w:cs="Arial"/>
        </w:rPr>
      </w:pPr>
      <w:r w:rsidRPr="00122AA1">
        <w:rPr>
          <w:rFonts w:ascii="Arial" w:hAnsi="Arial" w:cs="Arial"/>
        </w:rPr>
        <w:t>Protect</w:t>
      </w:r>
      <w:r w:rsidR="00FA3C19" w:rsidRPr="00122AA1">
        <w:rPr>
          <w:rFonts w:ascii="Arial" w:hAnsi="Arial" w:cs="Arial"/>
        </w:rPr>
        <w:t>i</w:t>
      </w:r>
      <w:r w:rsidRPr="00122AA1">
        <w:rPr>
          <w:rFonts w:ascii="Arial" w:hAnsi="Arial" w:cs="Arial"/>
        </w:rPr>
        <w:t xml:space="preserve">on of privacy and personal information has been a core element of media </w:t>
      </w:r>
      <w:r w:rsidR="001D62B1" w:rsidRPr="00122AA1">
        <w:rPr>
          <w:rFonts w:ascii="Arial" w:hAnsi="Arial" w:cs="Arial"/>
        </w:rPr>
        <w:t xml:space="preserve">and communications regulation. </w:t>
      </w:r>
      <w:r w:rsidRPr="00122AA1">
        <w:rPr>
          <w:rFonts w:ascii="Arial" w:hAnsi="Arial" w:cs="Arial"/>
        </w:rPr>
        <w:t xml:space="preserve">However, a substantial amount of communications activity is occurring in environments that were not envisioned when the confidentiality safeguards of privacy </w:t>
      </w:r>
      <w:r w:rsidR="001D62B1" w:rsidRPr="00122AA1">
        <w:rPr>
          <w:rFonts w:ascii="Arial" w:hAnsi="Arial" w:cs="Arial"/>
        </w:rPr>
        <w:t xml:space="preserve">and communications regulation. </w:t>
      </w:r>
      <w:r w:rsidRPr="00122AA1">
        <w:rPr>
          <w:rFonts w:ascii="Arial" w:hAnsi="Arial" w:cs="Arial"/>
        </w:rPr>
        <w:t>This has profound implications for the formulation and administration of regulatory safeguards that are robust but sufficiently flexible eno</w:t>
      </w:r>
      <w:r w:rsidR="001D62B1" w:rsidRPr="00122AA1">
        <w:rPr>
          <w:rFonts w:ascii="Arial" w:hAnsi="Arial" w:cs="Arial"/>
        </w:rPr>
        <w:t xml:space="preserve">ugh to accommodate innovation. </w:t>
      </w:r>
      <w:r w:rsidRPr="00122AA1">
        <w:rPr>
          <w:rFonts w:ascii="Arial" w:hAnsi="Arial" w:cs="Arial"/>
        </w:rPr>
        <w:t>It underscores the need for issues to be addressed within a single coherent regulatory framework that recognises the evolving forms of personal information in an information economy, as well as the different roles and respective responsibilities of citizens, industry and governments in a networked society.</w:t>
      </w:r>
    </w:p>
    <w:p w:rsidR="00F126CF" w:rsidRPr="00122AA1" w:rsidRDefault="00F126CF">
      <w:pPr>
        <w:spacing w:line="240" w:lineRule="auto"/>
        <w:rPr>
          <w:rFonts w:ascii="Arial" w:hAnsi="Arial" w:cs="Arial"/>
        </w:rPr>
      </w:pPr>
    </w:p>
    <w:p w:rsidR="00F126CF" w:rsidRPr="00122AA1" w:rsidRDefault="00F126CF" w:rsidP="00F126CF">
      <w:pPr>
        <w:pStyle w:val="Heading1"/>
        <w:rPr>
          <w:rFonts w:ascii="Arial" w:hAnsi="Arial"/>
        </w:rPr>
      </w:pPr>
      <w:bookmarkStart w:id="49" w:name="_Toc359574782"/>
      <w:r w:rsidRPr="00122AA1">
        <w:rPr>
          <w:rFonts w:ascii="Arial" w:hAnsi="Arial"/>
        </w:rPr>
        <w:t>Appendix 1</w:t>
      </w:r>
      <w:bookmarkEnd w:id="49"/>
    </w:p>
    <w:p w:rsidR="002C1F46" w:rsidRPr="00122AA1" w:rsidRDefault="002C1F46" w:rsidP="002C1F46">
      <w:pPr>
        <w:pStyle w:val="Heading2"/>
        <w:rPr>
          <w:rFonts w:ascii="Arial" w:hAnsi="Arial"/>
        </w:rPr>
      </w:pPr>
      <w:bookmarkStart w:id="50" w:name="_Toc359574783"/>
      <w:r w:rsidRPr="00122AA1">
        <w:rPr>
          <w:rFonts w:ascii="Arial" w:hAnsi="Arial"/>
        </w:rPr>
        <w:t>ACMA research relating to privacy and personal data protection</w:t>
      </w:r>
      <w:bookmarkEnd w:id="50"/>
    </w:p>
    <w:p w:rsidR="00F126CF" w:rsidRPr="00122AA1" w:rsidRDefault="00F126CF" w:rsidP="00F126CF">
      <w:pPr>
        <w:spacing w:after="80"/>
        <w:rPr>
          <w:rFonts w:ascii="Arial" w:hAnsi="Arial" w:cs="Arial"/>
        </w:rPr>
      </w:pPr>
      <w:r w:rsidRPr="00122AA1">
        <w:rPr>
          <w:rFonts w:ascii="Arial" w:hAnsi="Arial" w:cs="Arial"/>
        </w:rPr>
        <w:t xml:space="preserve">The ACMA has undertaken a range of research to </w:t>
      </w:r>
      <w:r w:rsidR="004F4FAE" w:rsidRPr="00122AA1">
        <w:rPr>
          <w:rFonts w:ascii="Arial" w:hAnsi="Arial" w:cs="Arial"/>
        </w:rPr>
        <w:t>provide</w:t>
      </w:r>
      <w:r w:rsidRPr="00122AA1">
        <w:rPr>
          <w:rFonts w:ascii="Arial" w:hAnsi="Arial" w:cs="Arial"/>
        </w:rPr>
        <w:t xml:space="preserve"> an evidence base to inform the development of regulatory safeguards and other measures aimed at protecting the privacy of Australians in the media and communications environment. The most recent examples of this research include:</w:t>
      </w:r>
    </w:p>
    <w:p w:rsidR="00F126CF" w:rsidRPr="00122AA1" w:rsidRDefault="00302C7D" w:rsidP="00F126CF">
      <w:pPr>
        <w:pStyle w:val="ListBullet"/>
        <w:rPr>
          <w:rFonts w:ascii="Arial" w:hAnsi="Arial" w:cs="Arial"/>
        </w:rPr>
      </w:pPr>
      <w:hyperlink r:id="rId35" w:history="1">
        <w:r w:rsidR="009E24B3" w:rsidRPr="00122AA1">
          <w:rPr>
            <w:rStyle w:val="Hyperlink"/>
            <w:rFonts w:ascii="Arial" w:hAnsi="Arial" w:cs="Arial"/>
            <w:b/>
            <w:bCs/>
            <w:i/>
          </w:rPr>
          <w:t>Here, there and everywhere—consumer behaviour and location services</w:t>
        </w:r>
      </w:hyperlink>
      <w:r w:rsidR="00B23652" w:rsidRPr="00122AA1">
        <w:rPr>
          <w:rFonts w:ascii="Arial" w:hAnsi="Arial" w:cs="Arial"/>
        </w:rPr>
        <w:t>. T</w:t>
      </w:r>
      <w:r w:rsidR="00F126CF" w:rsidRPr="00122AA1">
        <w:rPr>
          <w:rFonts w:ascii="Arial" w:hAnsi="Arial" w:cs="Arial"/>
        </w:rPr>
        <w:t>his report presents findings of both qualitative and quantitative research int</w:t>
      </w:r>
      <w:r w:rsidR="00CE4F23" w:rsidRPr="00122AA1">
        <w:rPr>
          <w:rFonts w:ascii="Arial" w:hAnsi="Arial" w:cs="Arial"/>
        </w:rPr>
        <w:t>o consumer attitudes, behaviour</w:t>
      </w:r>
      <w:r w:rsidR="00F126CF" w:rsidRPr="00122AA1">
        <w:rPr>
          <w:rFonts w:ascii="Arial" w:hAnsi="Arial" w:cs="Arial"/>
        </w:rPr>
        <w:t xml:space="preserve"> and perceptions of location services, to inform developm</w:t>
      </w:r>
      <w:r w:rsidR="00CE4F23" w:rsidRPr="00122AA1">
        <w:rPr>
          <w:rFonts w:ascii="Arial" w:hAnsi="Arial" w:cs="Arial"/>
        </w:rPr>
        <w:t>ent of appropriate policies and/</w:t>
      </w:r>
      <w:r w:rsidR="00F126CF" w:rsidRPr="00122AA1">
        <w:rPr>
          <w:rFonts w:ascii="Arial" w:hAnsi="Arial" w:cs="Arial"/>
        </w:rPr>
        <w:t>or educational resources.</w:t>
      </w:r>
    </w:p>
    <w:p w:rsidR="00F126CF" w:rsidRPr="00122AA1" w:rsidRDefault="00F126CF" w:rsidP="00F126CF">
      <w:pPr>
        <w:pStyle w:val="ListBullet"/>
        <w:rPr>
          <w:rFonts w:ascii="Arial" w:hAnsi="Arial" w:cs="Arial"/>
        </w:rPr>
      </w:pPr>
      <w:r w:rsidRPr="00122AA1">
        <w:rPr>
          <w:rFonts w:ascii="Arial" w:hAnsi="Arial" w:cs="Arial"/>
          <w:b/>
        </w:rPr>
        <w:t xml:space="preserve">Unsolicited communications and malware—consumer experiences </w:t>
      </w:r>
      <w:r w:rsidRPr="00122AA1">
        <w:rPr>
          <w:rFonts w:ascii="Arial" w:hAnsi="Arial" w:cs="Arial"/>
        </w:rPr>
        <w:t>(research undertaken June 2012, not yet published)</w:t>
      </w:r>
      <w:r w:rsidR="00CE4F23" w:rsidRPr="00122AA1">
        <w:rPr>
          <w:rFonts w:ascii="Arial" w:hAnsi="Arial" w:cs="Arial"/>
        </w:rPr>
        <w:t>.</w:t>
      </w:r>
    </w:p>
    <w:p w:rsidR="00F126CF" w:rsidRPr="00122AA1" w:rsidRDefault="00302C7D" w:rsidP="00F126CF">
      <w:pPr>
        <w:pStyle w:val="ListBullet"/>
        <w:rPr>
          <w:rFonts w:ascii="Arial" w:hAnsi="Arial" w:cs="Arial"/>
          <w:b/>
          <w:bCs/>
        </w:rPr>
      </w:pPr>
      <w:hyperlink r:id="rId36" w:history="1">
        <w:r w:rsidR="002D0A65" w:rsidRPr="00122AA1">
          <w:rPr>
            <w:rStyle w:val="Hyperlink"/>
            <w:rFonts w:ascii="Arial" w:hAnsi="Arial" w:cs="Arial"/>
            <w:b/>
            <w:bCs/>
            <w:i/>
          </w:rPr>
          <w:t>Digital Australians—</w:t>
        </w:r>
        <w:r w:rsidR="00F126CF" w:rsidRPr="00122AA1">
          <w:rPr>
            <w:rStyle w:val="Hyperlink"/>
            <w:rFonts w:ascii="Arial" w:hAnsi="Arial" w:cs="Arial"/>
            <w:b/>
            <w:bCs/>
            <w:i/>
          </w:rPr>
          <w:t>Expectations about media content in a converging media environmen</w:t>
        </w:r>
        <w:r w:rsidR="00C25E30" w:rsidRPr="00122AA1">
          <w:rPr>
            <w:rStyle w:val="Hyperlink"/>
            <w:rFonts w:ascii="Arial" w:hAnsi="Arial" w:cs="Arial"/>
            <w:b/>
            <w:bCs/>
            <w:i/>
          </w:rPr>
          <w:t>t, Qualitative and quantitative research repor</w:t>
        </w:r>
        <w:r w:rsidR="00F126CF" w:rsidRPr="00122AA1">
          <w:rPr>
            <w:rStyle w:val="Hyperlink"/>
            <w:rFonts w:ascii="Arial" w:hAnsi="Arial" w:cs="Arial"/>
            <w:b/>
            <w:bCs/>
            <w:i/>
          </w:rPr>
          <w:t>t</w:t>
        </w:r>
      </w:hyperlink>
      <w:r w:rsidR="00C25E30" w:rsidRPr="00122AA1">
        <w:rPr>
          <w:rFonts w:ascii="Arial" w:hAnsi="Arial" w:cs="Arial"/>
          <w:bCs/>
        </w:rPr>
        <w:t xml:space="preserve">, </w:t>
      </w:r>
      <w:r w:rsidR="00C25E30" w:rsidRPr="00122AA1">
        <w:rPr>
          <w:rFonts w:ascii="Arial" w:hAnsi="Arial" w:cs="Arial"/>
        </w:rPr>
        <w:t>October 2011</w:t>
      </w:r>
      <w:r w:rsidR="00F126CF" w:rsidRPr="00122AA1">
        <w:rPr>
          <w:rFonts w:ascii="Arial" w:hAnsi="Arial" w:cs="Arial"/>
        </w:rPr>
        <w:t>. Examines the impact of the increasing use of digital media on Australians’ attitudes and expectations about media content issues</w:t>
      </w:r>
      <w:r w:rsidR="002D0A65" w:rsidRPr="00122AA1">
        <w:rPr>
          <w:rFonts w:ascii="Arial" w:hAnsi="Arial" w:cs="Arial"/>
        </w:rPr>
        <w:t xml:space="preserve"> and explores privacy concerns: </w:t>
      </w:r>
      <w:r w:rsidR="00F126CF" w:rsidRPr="00122AA1">
        <w:rPr>
          <w:rFonts w:ascii="Arial" w:hAnsi="Arial" w:cs="Arial"/>
        </w:rPr>
        <w:t>Chapter 7</w:t>
      </w:r>
      <w:r w:rsidR="00E06A34" w:rsidRPr="00122AA1">
        <w:rPr>
          <w:rFonts w:ascii="Arial" w:hAnsi="Arial" w:cs="Arial"/>
        </w:rPr>
        <w:t>—</w:t>
      </w:r>
      <w:r w:rsidR="002D0A65" w:rsidRPr="00122AA1">
        <w:rPr>
          <w:rFonts w:ascii="Arial" w:hAnsi="Arial" w:cs="Arial"/>
        </w:rPr>
        <w:t>Privacy and consumer protection</w:t>
      </w:r>
      <w:r w:rsidR="00F126CF" w:rsidRPr="00122AA1">
        <w:rPr>
          <w:rFonts w:ascii="Arial" w:hAnsi="Arial" w:cs="Arial"/>
        </w:rPr>
        <w:t xml:space="preserve">. </w:t>
      </w:r>
    </w:p>
    <w:p w:rsidR="00F126CF" w:rsidRPr="00122AA1" w:rsidRDefault="00302C7D" w:rsidP="00F126CF">
      <w:pPr>
        <w:pStyle w:val="ListBullet"/>
        <w:rPr>
          <w:rFonts w:ascii="Arial" w:hAnsi="Arial" w:cs="Arial"/>
          <w:b/>
          <w:bCs/>
        </w:rPr>
      </w:pPr>
      <w:hyperlink r:id="rId37" w:history="1">
        <w:r w:rsidR="00F126CF" w:rsidRPr="00122AA1">
          <w:rPr>
            <w:rStyle w:val="Hyperlink"/>
            <w:rFonts w:ascii="Arial" w:hAnsi="Arial" w:cs="Arial"/>
            <w:b/>
            <w:bCs/>
            <w:i/>
          </w:rPr>
          <w:t>Community research on inf</w:t>
        </w:r>
        <w:r w:rsidR="00C25E30" w:rsidRPr="00122AA1">
          <w:rPr>
            <w:rStyle w:val="Hyperlink"/>
            <w:rFonts w:ascii="Arial" w:hAnsi="Arial" w:cs="Arial"/>
            <w:b/>
            <w:bCs/>
            <w:i/>
          </w:rPr>
          <w:t>ormed consent—Q</w:t>
        </w:r>
        <w:r w:rsidR="00F126CF" w:rsidRPr="00122AA1">
          <w:rPr>
            <w:rStyle w:val="Hyperlink"/>
            <w:rFonts w:ascii="Arial" w:hAnsi="Arial" w:cs="Arial"/>
            <w:b/>
            <w:bCs/>
            <w:i/>
          </w:rPr>
          <w:t>ualitative research report</w:t>
        </w:r>
      </w:hyperlink>
      <w:r w:rsidR="00F126CF" w:rsidRPr="00122AA1">
        <w:rPr>
          <w:rFonts w:ascii="Arial" w:hAnsi="Arial" w:cs="Arial"/>
          <w:bCs/>
        </w:rPr>
        <w:t>,</w:t>
      </w:r>
      <w:r w:rsidR="00F126CF" w:rsidRPr="00122AA1">
        <w:rPr>
          <w:rFonts w:ascii="Arial" w:hAnsi="Arial" w:cs="Arial"/>
          <w:b/>
          <w:bCs/>
        </w:rPr>
        <w:t xml:space="preserve"> </w:t>
      </w:r>
      <w:r w:rsidR="00F126CF" w:rsidRPr="00122AA1">
        <w:rPr>
          <w:rFonts w:ascii="Arial" w:hAnsi="Arial" w:cs="Arial"/>
          <w:bCs/>
        </w:rPr>
        <w:t>March 2011.</w:t>
      </w:r>
      <w:r w:rsidR="00B23652" w:rsidRPr="00122AA1">
        <w:rPr>
          <w:rFonts w:ascii="Arial" w:hAnsi="Arial" w:cs="Arial"/>
          <w:bCs/>
        </w:rPr>
        <w:t xml:space="preserve"> </w:t>
      </w:r>
      <w:r w:rsidR="00F126CF" w:rsidRPr="00122AA1">
        <w:rPr>
          <w:rFonts w:ascii="Arial" w:hAnsi="Arial" w:cs="Arial"/>
          <w:bCs/>
        </w:rPr>
        <w:t>This report presents the findings of qualitative research into community attitudes, perceptions and understandings of informed consent across a range of communication platforms.</w:t>
      </w:r>
    </w:p>
    <w:p w:rsidR="00F126CF" w:rsidRPr="00122AA1" w:rsidRDefault="00302C7D" w:rsidP="00F126CF">
      <w:pPr>
        <w:pStyle w:val="ListBullet"/>
        <w:rPr>
          <w:rFonts w:ascii="Arial" w:hAnsi="Arial" w:cs="Arial"/>
          <w:bCs/>
        </w:rPr>
      </w:pPr>
      <w:hyperlink r:id="rId38" w:history="1">
        <w:r w:rsidR="00F126CF" w:rsidRPr="00122AA1">
          <w:rPr>
            <w:rStyle w:val="Hyperlink"/>
            <w:rFonts w:ascii="Arial" w:hAnsi="Arial" w:cs="Arial"/>
            <w:b/>
            <w:i/>
          </w:rPr>
          <w:t>Attitudes towards use of personal information onlin</w:t>
        </w:r>
        <w:r w:rsidR="00C25E30" w:rsidRPr="00122AA1">
          <w:rPr>
            <w:rStyle w:val="Hyperlink"/>
            <w:rFonts w:ascii="Arial" w:hAnsi="Arial" w:cs="Arial"/>
            <w:b/>
            <w:i/>
          </w:rPr>
          <w:t>e</w:t>
        </w:r>
        <w:r w:rsidR="00C25E30" w:rsidRPr="00122AA1">
          <w:rPr>
            <w:rStyle w:val="Hyperlink"/>
            <w:rFonts w:ascii="Arial" w:hAnsi="Arial" w:cs="Arial"/>
            <w:b/>
          </w:rPr>
          <w:t>—</w:t>
        </w:r>
        <w:r w:rsidR="00C25E30" w:rsidRPr="00122AA1">
          <w:rPr>
            <w:rStyle w:val="Hyperlink"/>
            <w:rFonts w:ascii="Arial" w:hAnsi="Arial" w:cs="Arial"/>
            <w:b/>
            <w:i/>
          </w:rPr>
          <w:t>Qualitative research report</w:t>
        </w:r>
      </w:hyperlink>
      <w:r w:rsidR="00C25E30" w:rsidRPr="00122AA1">
        <w:rPr>
          <w:rFonts w:ascii="Arial" w:hAnsi="Arial" w:cs="Arial"/>
          <w:bCs/>
        </w:rPr>
        <w:t>, August 2009</w:t>
      </w:r>
      <w:r w:rsidR="00F126CF" w:rsidRPr="00122AA1">
        <w:rPr>
          <w:rFonts w:ascii="Arial" w:hAnsi="Arial" w:cs="Arial"/>
          <w:bCs/>
        </w:rPr>
        <w:t>.</w:t>
      </w:r>
      <w:r w:rsidR="00F126CF" w:rsidRPr="00122AA1">
        <w:rPr>
          <w:rFonts w:ascii="Arial" w:hAnsi="Arial" w:cs="Arial"/>
          <w:b/>
          <w:bCs/>
        </w:rPr>
        <w:t xml:space="preserve"> </w:t>
      </w:r>
      <w:r w:rsidR="00F126CF" w:rsidRPr="00122AA1">
        <w:rPr>
          <w:rFonts w:ascii="Arial" w:hAnsi="Arial" w:cs="Arial"/>
          <w:bCs/>
        </w:rPr>
        <w:t xml:space="preserve">This qualitative research report examines attitudes towards disclosure of personal information when using the internet or other digital media and communications such as mobiles or other devices. </w:t>
      </w:r>
    </w:p>
    <w:p w:rsidR="00F80851" w:rsidRPr="00122AA1" w:rsidRDefault="00302C7D" w:rsidP="00F126CF">
      <w:pPr>
        <w:pStyle w:val="ListBullet"/>
        <w:rPr>
          <w:rFonts w:ascii="Arial" w:hAnsi="Arial" w:cs="Arial"/>
          <w:bCs/>
        </w:rPr>
      </w:pPr>
      <w:hyperlink r:id="rId39" w:history="1">
        <w:r w:rsidR="00F126CF" w:rsidRPr="00122AA1">
          <w:rPr>
            <w:rStyle w:val="Hyperlink"/>
            <w:rFonts w:ascii="Arial" w:hAnsi="Arial" w:cs="Arial"/>
            <w:b/>
            <w:bCs/>
          </w:rPr>
          <w:t>Research undertaken for the review of privacy guidelines for broadcasters</w:t>
        </w:r>
      </w:hyperlink>
      <w:r w:rsidR="00C25E30" w:rsidRPr="00122AA1">
        <w:rPr>
          <w:rFonts w:ascii="Arial" w:hAnsi="Arial" w:cs="Arial"/>
          <w:bCs/>
        </w:rPr>
        <w:t>, August 2011</w:t>
      </w:r>
      <w:r w:rsidR="00F126CF" w:rsidRPr="00122AA1">
        <w:rPr>
          <w:rFonts w:ascii="Arial" w:hAnsi="Arial" w:cs="Arial"/>
          <w:bCs/>
        </w:rPr>
        <w:t>. Community research into broadcasting an</w:t>
      </w:r>
      <w:r w:rsidR="009E24B3" w:rsidRPr="00122AA1">
        <w:rPr>
          <w:rFonts w:ascii="Arial" w:hAnsi="Arial" w:cs="Arial"/>
          <w:bCs/>
        </w:rPr>
        <w:t>d media privacy and Australians’</w:t>
      </w:r>
      <w:r w:rsidR="00F126CF" w:rsidRPr="00122AA1">
        <w:rPr>
          <w:rFonts w:ascii="Arial" w:hAnsi="Arial" w:cs="Arial"/>
          <w:bCs/>
        </w:rPr>
        <w:t xml:space="preserve"> views on privacy in broadcast news and current affairs. </w:t>
      </w:r>
    </w:p>
    <w:p w:rsidR="00F126CF" w:rsidRPr="00122AA1" w:rsidRDefault="00302C7D" w:rsidP="00F126CF">
      <w:pPr>
        <w:pStyle w:val="ListBullet"/>
        <w:rPr>
          <w:rFonts w:ascii="Arial" w:hAnsi="Arial" w:cs="Arial"/>
          <w:bCs/>
        </w:rPr>
      </w:pPr>
      <w:hyperlink r:id="rId40" w:history="1">
        <w:r w:rsidR="00F126CF" w:rsidRPr="00122AA1">
          <w:rPr>
            <w:rStyle w:val="Hyperlink"/>
            <w:rFonts w:ascii="Arial" w:hAnsi="Arial" w:cs="Arial"/>
            <w:b/>
            <w:bCs/>
            <w:i/>
          </w:rPr>
          <w:t>Click and connect: Young Australia</w:t>
        </w:r>
        <w:r w:rsidR="00C25E30" w:rsidRPr="00122AA1">
          <w:rPr>
            <w:rStyle w:val="Hyperlink"/>
            <w:rFonts w:ascii="Arial" w:hAnsi="Arial" w:cs="Arial"/>
            <w:b/>
            <w:bCs/>
            <w:i/>
          </w:rPr>
          <w:t>ns’ use of online social media—0</w:t>
        </w:r>
        <w:r w:rsidR="00F126CF" w:rsidRPr="00122AA1">
          <w:rPr>
            <w:rStyle w:val="Hyperlink"/>
            <w:rFonts w:ascii="Arial" w:hAnsi="Arial" w:cs="Arial"/>
            <w:b/>
            <w:bCs/>
            <w:i/>
          </w:rPr>
          <w:t>2</w:t>
        </w:r>
        <w:r w:rsidR="00C901E6" w:rsidRPr="00122AA1">
          <w:rPr>
            <w:rStyle w:val="Hyperlink"/>
            <w:rFonts w:ascii="Arial" w:hAnsi="Arial" w:cs="Arial"/>
            <w:b/>
            <w:bCs/>
            <w:i/>
          </w:rPr>
          <w:t>:</w:t>
        </w:r>
        <w:r w:rsidR="00F126CF" w:rsidRPr="00122AA1">
          <w:rPr>
            <w:rStyle w:val="Hyperlink"/>
            <w:rFonts w:ascii="Arial" w:hAnsi="Arial" w:cs="Arial"/>
            <w:b/>
            <w:bCs/>
            <w:i/>
          </w:rPr>
          <w:t xml:space="preserve"> Quantitative research report</w:t>
        </w:r>
      </w:hyperlink>
      <w:r w:rsidR="00C901E6" w:rsidRPr="00122AA1">
        <w:rPr>
          <w:rFonts w:ascii="Arial" w:hAnsi="Arial" w:cs="Arial"/>
          <w:bCs/>
        </w:rPr>
        <w:t>, July</w:t>
      </w:r>
      <w:r w:rsidR="00C901E6" w:rsidRPr="00122AA1">
        <w:rPr>
          <w:rFonts w:ascii="Arial" w:hAnsi="Arial" w:cs="Arial"/>
          <w:b/>
          <w:bCs/>
        </w:rPr>
        <w:t xml:space="preserve"> </w:t>
      </w:r>
      <w:r w:rsidR="00C901E6" w:rsidRPr="00122AA1">
        <w:rPr>
          <w:rFonts w:ascii="Arial" w:hAnsi="Arial" w:cs="Arial"/>
          <w:bCs/>
        </w:rPr>
        <w:t>2009</w:t>
      </w:r>
      <w:r w:rsidR="00F126CF" w:rsidRPr="00122AA1">
        <w:rPr>
          <w:rFonts w:ascii="Arial" w:hAnsi="Arial" w:cs="Arial"/>
          <w:bCs/>
        </w:rPr>
        <w:t>. This research focuses on young people's use of social media, including content, contact and privacy risks</w:t>
      </w:r>
      <w:r w:rsidR="00F126CF" w:rsidRPr="00122AA1">
        <w:rPr>
          <w:rFonts w:ascii="Arial" w:hAnsi="Arial" w:cs="Arial"/>
          <w:bCs/>
          <w:szCs w:val="20"/>
        </w:rPr>
        <w:t>.</w:t>
      </w:r>
    </w:p>
    <w:p w:rsidR="00F80851" w:rsidRPr="00122AA1" w:rsidRDefault="00F80851" w:rsidP="00412CCF">
      <w:pPr>
        <w:pStyle w:val="ListBullet"/>
        <w:numPr>
          <w:ilvl w:val="0"/>
          <w:numId w:val="0"/>
        </w:numPr>
        <w:rPr>
          <w:rFonts w:ascii="Arial" w:hAnsi="Arial" w:cs="Arial"/>
          <w:bCs/>
        </w:rPr>
      </w:pPr>
    </w:p>
    <w:sectPr w:rsidR="00F80851" w:rsidRPr="00122AA1" w:rsidSect="00A74B5E">
      <w:headerReference w:type="even" r:id="rId41"/>
      <w:headerReference w:type="default" r:id="rId42"/>
      <w:footerReference w:type="even" r:id="rId43"/>
      <w:footerReference w:type="default" r:id="rId44"/>
      <w:pgSz w:w="11906" w:h="16838" w:code="9"/>
      <w:pgMar w:top="1945" w:right="3101" w:bottom="868" w:left="1134" w:header="709" w:footer="11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E7" w:rsidRDefault="00B041E7">
      <w:r>
        <w:separator/>
      </w:r>
    </w:p>
  </w:endnote>
  <w:endnote w:type="continuationSeparator" w:id="0">
    <w:p w:rsidR="00B041E7" w:rsidRDefault="00B04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Lt">
    <w:altName w:val="Malgun Gothic"/>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altName w:val="Arial"/>
    <w:panose1 w:val="020B0604020202020204"/>
    <w:charset w:val="00"/>
    <w:family w:val="swiss"/>
    <w:notTrueType/>
    <w:pitch w:val="variable"/>
    <w:sig w:usb0="800000AF" w:usb1="4000204A" w:usb2="00000000" w:usb3="00000000" w:csb0="00000001" w:csb1="00000000"/>
  </w:font>
  <w:font w:name="HelveticaNeueLT Std">
    <w:altName w:val="Arial"/>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Footer"/>
    </w:pPr>
    <w:r>
      <w:rPr>
        <w:noProof/>
      </w:rPr>
      <w:pict>
        <v:shape id="Logo_ftr_grey_ing" o:spid="_x0000_s2064" style="position:absolute;margin-left:57.2pt;margin-top:802.6pt;width:275.95pt;height:14.5pt;z-index:-251657216;mso-position-horizontal:absolute;mso-position-horizontal-relative:page;mso-position-vertical:absolute;mso-position-vertical-relative:page" coordsize="4417,224" path="m81,103hdc81,100,81,98,80,96,79,94,77,92,75,91,74,89,72,88,70,87,67,86,65,86,63,86v-6,,-10,1,-13,3c46,91,44,94,42,97v-1,3,-3,7,-3,11c38,112,38,116,38,120v,4,,8,1,11c40,135,41,138,43,141v2,3,4,5,7,7c53,150,57,151,61,151v6,,11,-2,15,-6c79,142,81,137,82,131v37,,37,,37,c118,138,116,145,113,152v-3,6,-8,11,-13,15c95,171,89,174,83,176v-7,3,-14,4,-22,4c52,180,44,178,36,175,29,173,23,169,17,163,12,158,8,152,4,145,1,137,,129,,120,,111,1,102,4,95,7,87,11,80,16,75,22,69,28,65,35,61v8,-3,16,-4,26,-4c68,57,75,58,82,60v6,2,12,4,17,8c105,72,109,77,112,83v3,5,5,12,6,20hal81,103hdxm126,118v,-8,2,-16,5,-24c134,87,138,80,143,74v6,-5,12,-9,20,-13c170,58,178,57,187,57v9,,18,1,25,4c220,65,226,69,232,74v5,6,9,13,12,20c247,102,249,110,249,118v,9,-2,17,-5,25c241,150,237,157,232,162v-6,6,-12,10,-20,13c205,178,196,180,187,180v-9,,-17,-2,-24,-5c155,172,149,168,143,162v-5,-5,-9,-12,-12,-19c128,135,126,127,126,118xm164,118v,4,1,8,1,12c166,133,167,137,169,140v2,3,4,6,7,8c179,150,183,151,187,151v5,,9,-1,12,-3c202,146,204,143,206,140v2,-3,3,-7,4,-10c210,126,211,122,211,118v,-3,-1,-7,-1,-11c209,103,208,100,206,97v-2,-3,-4,-6,-7,-8c196,87,192,86,187,86v-4,,-8,1,-11,3c173,91,171,94,169,97v-2,3,-3,6,-4,10c165,111,164,115,164,118xm262,60v37,,37,,37,c299,76,299,76,299,76v1,,1,,1,c303,70,308,66,313,62v6,-3,13,-5,20,-5c340,57,347,58,353,61v6,3,11,8,14,15c371,69,377,65,382,61v6,-3,13,-4,21,-4c412,57,420,58,425,61v6,4,10,8,12,13c440,78,442,84,443,90v1,6,1,11,1,17c444,176,444,176,444,176v-38,,-38,,-38,c406,108,406,108,406,108v,-6,-1,-11,-4,-15c399,90,395,88,390,88v-4,,-7,1,-10,2c378,92,376,94,375,97v-1,3,-2,6,-2,10c372,111,372,115,372,119v,57,,57,,57c334,176,334,176,334,176v,-66,,-66,,-66c334,103,333,98,331,94v-2,-4,-6,-6,-11,-6c313,88,308,90,305,95v-3,5,-5,13,-5,25c300,176,300,176,300,176v-38,,-38,,-38,hal262,60hdxm463,60v37,,37,,37,c500,76,500,76,500,76v1,,1,,1,c504,70,509,66,514,62v6,-3,13,-5,20,-5c541,57,548,58,554,61v6,3,11,8,14,15c572,69,578,65,583,61v6,-3,13,-4,21,-4c613,57,621,58,626,61v6,4,10,8,12,13c641,78,643,84,644,90v1,6,1,11,1,17c645,176,645,176,645,176v-38,,-38,,-38,c607,108,607,108,607,108v,-6,-2,-11,-4,-15c600,90,596,88,591,88v-4,,-7,1,-10,2c579,92,577,94,576,97v-1,3,-2,6,-2,10c573,111,573,115,573,119v,57,,57,,57c535,176,535,176,535,176v,-66,,-66,,-66c535,103,534,98,532,94v-2,-4,-6,-6,-11,-6c514,88,509,90,506,95v-3,5,-5,13,-5,25c501,176,501,176,501,176v-38,,-38,,-38,hal463,60hdxm779,176v-37,,-37,,-37,c742,160,742,160,742,160v,,,,,c738,166,733,171,727,175v-7,3,-14,5,-20,5c698,180,691,179,686,176v-6,-2,-10,-5,-13,-10c669,162,667,157,666,151v-2,-6,-2,-13,-2,-21c664,60,664,60,664,60v38,,38,,38,c702,128,702,128,702,128v,7,1,13,4,16c710,147,714,148,720,148v3,,5,,7,-1c730,147,732,145,734,143v2,-2,4,-5,5,-8c741,132,741,128,741,122v,-62,,-62,,-62c779,60,779,60,779,60hal779,176hdxm798,60v37,,37,,37,c835,76,835,76,835,76v1,,1,,1,c838,73,840,70,843,68v2,-2,5,-4,9,-6c855,60,858,59,862,58v3,-1,7,-1,10,-1c882,57,890,58,895,61v6,4,10,7,13,12c911,78,912,82,913,88v1,5,1,10,1,14c914,176,914,176,914,176v-38,,-38,,-38,c876,120,876,120,876,120v,-4,,-8,,-11c876,105,876,101,874,98v-1,-3,-3,-5,-5,-7c866,89,862,88,857,88v-3,,-7,1,-9,2c845,92,843,94,841,96v-1,2,-2,5,-3,8c837,107,837,110,837,113v,63,,63,,63c798,176,798,176,798,176hal798,60hdxm972,46v-38,,-38,,-38,c934,16,934,16,934,16v38,,38,,38,hal972,46hdxm934,60v38,,38,,38,c972,176,972,176,972,176v-38,,-38,,-38,hal934,60hdxm1069,103v,-3,-1,-5,-2,-7c1066,94,1065,92,1063,91v-2,-2,-4,-3,-6,-4c1055,86,1052,86,1050,86v-5,,-10,1,-13,3c1034,91,1031,94,1030,97v-2,3,-3,7,-4,11c1026,112,1025,116,1025,120v,4,1,8,2,11c1027,135,1029,138,1031,141v1,3,4,5,7,7c1040,150,1044,151,1048,151v7,,12,-2,15,-6c1067,142,1069,137,1070,131v37,,37,,37,c1106,138,1104,145,1100,152v-3,6,-7,11,-12,15c1083,171,1077,174,1070,176v-7,3,-14,4,-22,4c1039,180,1031,178,1024,175v-8,-2,-14,-6,-19,-12c999,158,995,152,992,145v-3,-8,-5,-16,-5,-25c987,111,989,102,992,95v2,-8,6,-15,12,-20c1009,69,1015,65,1023,61v7,-3,16,-4,25,-4c1055,57,1062,58,1069,60v7,2,12,4,18,8c1092,72,1096,77,1099,83v4,5,6,12,7,20hal1069,103hdxm1118,96v,-8,2,-14,5,-19c1126,72,1131,68,1136,65v5,-3,11,-5,17,-6c1159,57,1166,57,1173,57v7,,13,,20,1c1199,59,1205,61,1210,64v5,3,9,7,12,12c1225,81,1227,88,1227,96v,51,,51,,51c1227,152,1227,157,1227,162v1,5,2,10,4,14c1193,176,1193,176,1193,176v-1,-1,-1,-3,-1,-5c1191,169,1191,167,1191,165v-5,6,-11,9,-18,11c1166,179,1160,180,1153,180v-6,,-11,-1,-16,-2c1132,176,1128,174,1124,171v-3,-3,-6,-6,-8,-11c1114,156,1113,151,1113,145v,-7,1,-12,3,-16c1118,125,1121,121,1125,119v3,-3,7,-5,12,-7c1142,111,1146,110,1151,109v5,-1,10,-2,15,-3c1171,106,1176,105,1181,104v3,,5,-2,7,-3c1190,100,1191,97,1191,94v,-3,-1,-5,-2,-6c1188,86,1186,85,1184,84v-1,-1,-3,-1,-6,-2c1176,82,1174,81,1172,81v-11,,-17,5,-19,15hal1118,96hdxm1151,143v,5,2,8,5,10c1159,155,1163,156,1167,156v9,,15,-2,19,-8c1189,143,1191,134,1190,122v-2,2,-6,3,-10,3c1175,126,1171,127,1167,128v-5,1,-8,3,-11,5c1153,135,1151,138,1151,143xm1316,85v-24,,-24,,-24,c1292,138,1292,138,1292,138v,4,1,7,4,9c1298,148,1302,149,1306,149v1,,3,,5,c1312,148,1314,148,1316,148v,28,,28,,28c1312,177,1309,177,1305,177v-3,,-7,1,-10,1c1287,178,1280,177,1275,175v-6,-1,-10,-3,-13,-6c1259,166,1257,161,1256,156v-1,-5,-2,-12,-2,-19c1254,85,1254,85,1254,85v-19,,-19,,-19,c1235,60,1235,60,1235,60v19,,19,,19,c1254,25,1254,25,1254,25v38,,38,,38,c1292,60,1292,60,1292,60v24,,24,,24,hal1316,85hdxm1366,46v-39,,-39,,-39,c1327,16,1327,16,1327,16v39,,39,,39,hal1366,46hdxm1327,60v39,,39,,39,c1366,176,1366,176,1366,176v-39,,-39,,-39,hal1327,60hdxm1386,60v37,,37,,37,c1423,76,1423,76,1423,76v,,,,,c1425,73,1427,70,1430,68v3,-2,6,-4,9,-6c1442,60,1446,59,1449,58v4,-1,7,-1,11,-1c1470,57,1477,58,1483,61v5,4,10,7,12,12c1498,78,1500,82,1501,88v,5,1,10,1,14c1502,176,1502,176,1502,176v-38,,-38,,-38,c1464,120,1464,120,1464,120v,-4,,-8,,-11c1464,105,1463,101,1462,98v-1,-3,-3,-5,-6,-7c1454,89,1450,88,1445,88v-4,,-7,1,-10,2c1433,92,1431,94,1429,96v-2,2,-3,5,-4,8c1424,107,1424,110,1424,113v,63,,63,,63c1386,176,1386,176,1386,176hal1386,60hdxm1633,162v,5,,11,-1,17c1631,185,1628,191,1624,197v-3,5,-9,10,-17,14c1599,215,1589,217,1575,217v-7,,-13,,-20,-1c1549,215,1543,213,1538,210v-5,-2,-10,-6,-13,-11c1521,194,1519,188,1518,180v38,,38,,38,c1557,185,1559,188,1562,190v4,2,8,3,14,3c1581,193,1584,192,1587,190v3,-1,5,-3,6,-6c1595,182,1595,179,1596,176v,-4,,-7,,-11c1596,154,1596,154,1596,154v,,,,,c1592,160,1588,164,1583,167v-6,3,-12,4,-18,4c1556,171,1549,170,1542,167v-6,-3,-12,-7,-16,-12c1522,150,1519,144,1517,137v-2,-8,-3,-15,-3,-23c1514,106,1515,99,1517,92v2,-7,6,-13,10,-18c1531,69,1537,64,1543,61v6,-3,14,-4,22,-4c1579,57,1589,63,1596,75v1,,1,,1,c1597,60,1597,60,1597,60v36,,36,,36,hal1633,162hdxm1597,115v,-4,,-7,-1,-11c1595,101,1594,98,1592,95v-2,-3,-4,-5,-7,-7c1582,87,1578,86,1574,86v-4,,-8,1,-10,2c1561,90,1558,92,1557,95v-2,3,-3,6,-4,9c1552,108,1552,111,1552,115v,3,,7,1,10c1554,128,1555,131,1557,134v2,2,4,4,7,6c1567,142,1570,142,1574,142v4,,7,,10,-2c1587,139,1590,137,1591,134v2,-2,4,-5,5,-8c1597,122,1597,119,1597,115xm1782,v12,,12,,12,c1794,224,1794,224,1794,224v-12,,-12,,-12,hal1782,hdxm1955,85v-18,,-18,,-18,c1937,60,1937,60,1937,60v18,,18,,18,c1955,52,1956,45,1958,39v1,-5,4,-10,7,-13c1969,22,1973,20,1979,19v6,-2,12,-3,21,-3c2003,16,2006,17,2009,17v3,,6,,9,c2018,44,2018,44,2018,44v-4,,-7,-1,-10,-1c2003,43,2000,44,1997,45v-2,2,-4,5,-4,10c1993,60,1993,60,1993,60v23,,23,,23,c2016,85,2016,85,2016,85v-23,,-23,,-23,c1993,176,1993,176,1993,176v-38,,-38,,-38,hal1955,85hdxm2022,96v,-8,2,-14,5,-19c2031,72,2035,68,2040,65v5,-3,11,-5,17,-6c2064,57,2070,57,2077,57v7,,14,,20,1c2104,59,2109,61,2114,64v6,3,10,7,13,12c2130,81,2131,88,2131,96v,51,,51,,51c2131,152,2131,157,2132,162v,5,1,10,4,14c2097,176,2097,176,2097,176v,-1,-1,-3,-1,-5c2096,169,2095,167,2095,165v-5,6,-11,9,-17,11c2071,179,2064,180,2057,180v-6,,-11,-1,-16,-2c2036,176,2032,174,2029,171v-4,-3,-7,-6,-9,-11c2018,156,2017,151,2017,145v,-7,1,-12,3,-16c2022,125,2025,121,2029,119v3,-3,8,-5,12,-7c2046,111,2051,110,2056,109v5,-1,10,-2,15,-3c2076,106,2080,105,2085,104v3,,6,-2,7,-3c2094,100,2095,97,2095,94v,-3,-1,-5,-2,-6c2092,86,2090,85,2089,84v-2,-1,-4,-1,-6,-2c2081,82,2079,81,2077,81v-11,,-18,5,-19,15hal2022,96hdxm2055,143v,5,2,8,5,10c2063,155,2067,156,2071,156v9,,16,-2,19,-8c2093,143,2095,134,2094,122v-2,2,-6,3,-10,3c2079,126,2075,127,2071,128v-4,1,-8,3,-11,5c2057,135,2055,138,2055,143xm2226,103v,-3,-1,-5,-2,-7c2223,94,2222,92,2220,91v-2,-2,-4,-3,-6,-4c2212,86,2209,86,2207,86v-5,,-10,1,-13,3c2191,91,2188,94,2187,97v-2,3,-3,7,-4,11c2183,112,2182,116,2182,120v,4,1,8,2,11c2184,135,2186,138,2188,141v1,3,4,5,7,7c2197,150,2201,151,2205,151v7,,12,-2,15,-6c2224,142,2226,137,2227,131v37,,37,,37,c2263,138,2261,145,2257,152v-3,6,-7,11,-12,15c2240,171,2234,174,2227,176v-7,3,-14,4,-22,4c2196,180,2188,178,2181,175v-8,-2,-14,-6,-19,-12c2156,158,2152,152,2149,145v-3,-8,-5,-16,-5,-25c2144,111,2146,102,2148,95v3,-8,7,-15,13,-20c2166,69,2172,65,2180,61v7,-3,16,-4,25,-4c2212,57,2219,58,2226,60v7,2,12,4,18,8c2249,72,2253,77,2256,83v4,5,6,12,6,20hal2226,103hdxm2316,46v-39,,-39,,-39,c2277,16,2277,16,2277,16v39,,39,,39,hal2316,46hdxm2277,60v39,,39,,39,c2316,176,2316,176,2316,176v-39,,-39,,-39,hal2277,60hdxm2337,16v38,,38,,38,c2375,176,2375,176,2375,176v-38,,-38,,-38,hal2337,16hdxm2435,46v-38,,-38,,-38,c2397,16,2397,16,2397,16v38,,38,,38,hal2435,46hdxm2397,60v38,,38,,38,c2435,176,2435,176,2435,176v-38,,-38,,-38,hal2397,60hdxm2526,85v-24,,-24,,-24,c2502,138,2502,138,2502,138v,4,1,7,4,9c2508,148,2512,149,2516,149v1,,3,,5,c2522,148,2524,148,2526,148v,28,,28,,28c2522,177,2519,177,2515,177v-3,,-7,1,-10,1c2497,178,2490,177,2485,175v-6,-1,-10,-3,-13,-6c2469,166,2467,161,2466,156v-1,-5,-2,-12,-2,-19c2464,85,2464,85,2464,85v-19,,-19,,-19,c2445,60,2445,60,2445,60v19,,19,,19,c2464,25,2464,25,2464,25v38,,38,,38,c2502,60,2502,60,2502,60v24,,24,,24,hal2526,85hdxm2535,96v,-8,2,-14,5,-19c2543,72,2548,68,2553,65v5,-3,11,-5,17,-6c2576,57,2583,57,2590,57v7,,13,,20,1c2616,59,2622,61,2627,64v5,3,9,7,12,12c2642,81,2644,88,2644,96v,51,,51,,51c2644,152,2644,157,2645,162v,5,1,10,3,14c2610,176,2610,176,2610,176v-1,-1,-1,-3,-1,-5c2608,169,2608,167,2608,165v-5,6,-11,9,-18,11c2584,179,2577,180,2570,180v-6,,-11,-1,-16,-2c2549,176,2545,174,2541,171v-3,-3,-6,-6,-8,-11c2531,156,2530,151,2530,145v,-7,1,-12,3,-16c2535,125,2538,121,2542,119v3,-3,7,-5,12,-7c2559,111,2563,110,2568,109v5,-1,10,-2,15,-3c2588,106,2593,105,2598,104v3,,5,-2,7,-3c2607,100,2608,97,2608,94v,-3,-1,-5,-2,-6c2605,86,2603,85,2601,84v-1,-1,-3,-1,-6,-2c2593,82,2591,81,2589,81v-11,,-17,5,-19,15hal2535,96hdxm2568,143v,5,2,8,5,10c2576,155,2580,156,2584,156v9,,15,-2,19,-8c2606,143,2608,134,2607,122v-2,2,-6,3,-10,3c2592,126,2588,127,2584,128v-5,1,-8,3,-11,5c2570,135,2568,138,2568,143xm2733,85v-24,,-24,,-24,c2709,138,2709,138,2709,138v,4,1,7,4,9c2715,148,2719,149,2723,149v1,,3,,5,c2729,148,2731,148,2733,148v,28,,28,,28c2729,177,2726,177,2722,177v-3,,-7,1,-10,1c2704,178,2697,177,2692,175v-6,-1,-10,-3,-13,-6c2676,166,2674,161,2673,156v-1,-5,-2,-12,-2,-19c2671,85,2671,85,2671,85v-19,,-19,,-19,c2652,60,2652,60,2652,60v19,,19,,19,c2671,25,2671,25,2671,25v38,,38,,38,c2709,60,2709,60,2709,60v24,,24,,24,hal2733,85hdxm2783,46v-38,,-38,,-38,c2745,16,2745,16,2745,16v38,,38,,38,hal2783,46hdxm2745,60v38,,38,,38,c2783,176,2783,176,2783,176v-38,,-38,,-38,hal2745,60hdxm2803,60v37,,37,,37,c2840,76,2840,76,2840,76v,,,,,c2842,73,2844,70,2847,68v3,-2,6,-4,9,-6c2859,60,2863,59,2866,58v4,-1,7,-1,11,-1c2887,57,2894,58,2900,61v5,4,10,7,12,12c2915,78,2917,82,2918,88v,5,1,10,1,14c2919,176,2919,176,2919,176v-38,,-38,,-38,c2881,120,2881,120,2881,120v,-4,,-8,,-11c2881,105,2880,101,2879,98v-1,-3,-3,-5,-6,-7c2871,89,2867,88,2862,88v-4,,-7,1,-10,2c2850,92,2848,94,2846,96v-2,2,-3,5,-4,8c2841,107,2841,110,2841,113v,63,,63,,63c2803,176,2803,176,2803,176hal2803,60hdxm3050,162v,5,,11,-1,17c3048,185,3045,191,3041,197v-3,5,-9,10,-17,14c3016,215,3006,217,2992,217v-7,,-13,,-20,-1c2966,215,2960,213,2955,210v-5,-2,-10,-6,-13,-11c2938,194,2936,188,2935,180v38,,38,,38,c2974,185,2976,188,2979,190v4,2,8,3,14,3c2998,193,3001,192,3004,190v3,-1,5,-3,6,-6c3012,182,3012,179,3013,176v,-4,,-7,,-11c3013,154,3013,154,3013,154v,,,,,c3009,160,3005,164,3000,167v-6,3,-12,4,-18,4c2973,171,2966,170,2959,167v-6,-3,-12,-7,-16,-12c2939,150,2936,144,2934,137v-2,-8,-3,-15,-3,-23c2931,106,2932,99,2934,92v2,-7,6,-13,10,-18c2948,69,2954,64,2960,61v6,-3,14,-4,22,-4c2996,57,3006,63,3013,75v1,,1,,1,c3014,60,3014,60,3014,60v36,,36,,36,hal3050,162hdxm3014,115v,-4,,-7,-1,-11c3012,101,3011,98,3009,95v-2,-3,-4,-5,-7,-7c2999,87,2995,86,2991,86v-4,,-8,1,-10,2c2978,90,2975,92,2974,95v-2,3,-3,6,-4,9c2969,108,2969,111,2969,115v,3,,7,1,10c2971,128,2972,131,2974,134v2,2,4,4,7,6c2984,142,2987,142,2991,142v4,,7,,10,-2c3004,139,3007,137,3008,134v2,-2,4,-5,5,-8c3014,122,3014,119,3014,115xm3199,v12,,12,,12,c3211,224,3211,224,3211,224v-12,,-12,,-12,hal3199,hdxm3365,60v37,,37,,37,c3402,81,3402,81,3402,81v,,,,,c3405,73,3410,67,3416,64v6,-4,13,-6,21,-6c3439,58,3440,58,3442,58v1,,3,,4,1c3446,94,3446,94,3446,94v-2,-1,-5,-2,-7,-2c3437,91,3434,91,3432,91v-5,,-9,1,-13,3c3416,95,3413,97,3410,100v-2,2,-4,5,-5,8c3404,112,3403,115,3403,119v,57,,57,,57c3365,176,3365,176,3365,176hal3365,60hdxm3481,128v,8,3,14,7,19c3493,152,3499,154,3507,154v5,,9,-1,13,-3c3524,149,3527,146,3529,141v35,,35,,35,c3563,148,3560,154,3556,159v-4,4,-8,8,-13,12c3537,174,3532,176,3526,178v-7,1,-13,2,-19,2c3497,180,3489,178,3481,176v-8,-3,-15,-7,-20,-12c3455,158,3451,152,3448,144v-3,-8,-5,-16,-5,-26c3443,109,3445,101,3448,93v3,-7,8,-14,13,-19c3467,69,3474,64,3482,61v7,-3,15,-4,24,-4c3516,57,3525,59,3533,62v8,4,14,9,19,15c3557,84,3561,91,3563,100v3,8,4,18,3,28hal3481,128hdxm3528,106v,-6,-2,-12,-6,-17c3517,85,3512,83,3506,83v-7,,-13,2,-17,6c3485,93,3482,99,3481,106hal3528,106hdxm3691,162v,5,,11,-1,17c3689,185,3686,191,3683,197v-4,5,-10,10,-18,14c3657,215,3647,217,3633,217v-7,,-13,,-20,-1c3607,215,3601,213,3596,210v-5,-2,-9,-6,-13,-11c3579,194,3577,188,3576,180v38,,38,,38,c3615,185,3617,188,3621,190v3,2,7,3,13,3c3639,193,3643,192,3645,190v3,-1,5,-3,6,-6c3653,182,3653,179,3654,176v,-4,,-7,,-11c3654,154,3654,154,3654,154v,,,,,c3651,160,3646,164,3641,167v-6,3,-12,4,-18,4c3614,171,3607,170,3600,167v-6,-3,-12,-7,-16,-12c3580,150,3577,144,3575,137v-2,-8,-3,-15,-3,-23c3572,106,3573,99,3575,92v3,-7,6,-13,10,-18c3590,69,3595,64,3601,61v7,-3,14,-4,22,-4c3637,57,3647,63,3654,75v1,,1,,1,c3655,60,3655,60,3655,60v36,,36,,36,hal3691,162hdxm3655,115v,-4,,-7,-1,-11c3653,101,3652,98,3650,95v-2,-3,-4,-5,-7,-7c3640,87,3636,86,3632,86v-4,,-7,1,-10,2c3619,90,3617,92,3615,95v-2,3,-3,6,-4,9c3610,108,3610,111,3610,115v,3,,7,1,10c3612,128,3613,131,3615,134v2,2,4,4,7,6c3625,142,3628,142,3632,142v4,,8,,10,-2c3645,139,3648,137,3650,134v1,-2,3,-5,4,-8c3655,122,3655,119,3655,115xm3825,176v-37,,-37,,-37,c3788,160,3788,160,3788,160v-1,,-1,,-1,c3784,166,3779,171,3772,175v-7,3,-13,5,-20,5c3743,180,3737,179,3731,176v-6,-2,-10,-5,-13,-10c3715,162,3712,157,3711,151v-1,-6,-2,-13,-2,-21c3709,60,3709,60,3709,60v38,,38,,38,c3747,128,3747,128,3747,128v,7,2,13,5,16c3755,147,3760,148,3766,148v2,,4,,6,-1c3775,147,3777,145,3779,143v2,-2,4,-5,5,-8c3786,132,3787,128,3787,122v,-62,,-62,,-62c3825,60,3825,60,3825,60hal3825,176hdxm3845,16v38,,38,,38,c3883,176,3883,176,3883,176v-38,,-38,,-38,hal3845,16hdxm3902,96v,-8,2,-14,5,-19c3911,72,3915,68,3920,65v5,-3,11,-5,17,-6c3944,57,3950,57,3957,57v7,,14,,20,1c3984,59,3989,61,3994,64v6,3,10,7,13,12c4010,81,4011,88,4011,96v,51,,51,,51c4011,152,4011,157,4012,162v,5,1,10,4,14c3977,176,3977,176,3977,176v,-1,-1,-3,-1,-5c3976,169,3975,167,3975,165v-5,6,-11,9,-17,11c3951,179,3944,180,3937,180v-6,,-11,-1,-16,-2c3916,176,3912,174,3909,171v-4,-3,-7,-6,-9,-11c3898,156,3897,151,3897,145v,-7,1,-12,3,-16c3902,125,3905,121,3909,119v3,-3,8,-5,12,-7c3926,111,3931,110,3936,109v5,-1,10,-2,15,-3c3956,106,3960,105,3965,104v3,,6,-2,7,-3c3974,100,3975,97,3975,94v,-3,-1,-5,-2,-6c3972,86,3970,85,3969,84v-2,-1,-4,-1,-6,-2c3961,82,3959,81,3957,81v-11,,-18,5,-19,15hal3902,96hdxm3935,143v,5,2,8,5,10c3943,155,3947,156,3951,156v9,,16,-2,19,-8c3973,143,3975,134,3975,122v-3,2,-7,3,-11,3c3959,126,3955,127,3951,128v-4,1,-8,3,-11,5c3937,135,3935,138,3935,143xm4100,85v-24,,-24,,-24,c4076,138,4076,138,4076,138v,4,2,7,4,9c4083,148,4086,149,4090,149v2,,3,,5,c4097,148,4098,148,4100,148v,28,,28,,28c4097,177,4093,177,4090,177v-4,,-7,1,-11,1c4071,178,4064,177,4059,175v-5,-1,-9,-3,-12,-6c4043,166,4041,161,4040,156v-1,-5,-2,-12,-2,-19c4038,85,4038,85,4038,85v-19,,-19,,-19,c4019,60,4019,60,4019,60v19,,19,,19,c4038,25,4038,25,4038,25v38,,38,,38,c4076,60,4076,60,4076,60v24,,24,,24,hal4100,85hdxm4150,46v-38,,-38,,-38,c4112,16,4112,16,4112,16v38,,38,,38,hal4150,46hdxm4112,60v38,,38,,38,c4150,176,4150,176,4150,176v-38,,-38,,-38,hal4112,60hdxm4170,60v37,,37,,37,c4207,76,4207,76,4207,76v1,,1,,1,c4209,73,4212,70,4214,68v3,-2,6,-4,9,-6c4227,60,4230,59,4234,58v3,-1,7,-1,10,-1c4254,57,4262,58,4267,61v6,4,10,7,13,12c4282,78,4284,82,4285,88v1,5,1,10,1,14c4286,176,4286,176,4286,176v-38,,-38,,-38,c4248,120,4248,120,4248,120v,-4,,-8,,-11c4248,105,4247,101,4246,98v-1,-3,-3,-5,-5,-7c4238,89,4234,88,4229,88v-4,,-7,1,-9,2c4217,92,4215,94,4213,96v-1,2,-3,5,-3,8c4209,107,4208,110,4208,113v,63,,63,,63c4170,176,4170,176,4170,176hal4170,60hdxm4417,162v,5,,11,-1,17c4415,185,4413,191,4409,197v-4,5,-10,10,-18,14c4384,215,4373,217,4359,217v-6,,-13,,-19,-1c4333,215,4327,213,4322,210v-5,-2,-9,-6,-13,-11c4306,194,4303,188,4302,180v38,,38,,38,c4341,185,4343,188,4347,190v3,2,8,3,14,3c4365,193,4369,192,4371,190v3,-1,5,-3,6,-6c4379,182,4380,179,4380,176v,-4,1,-7,1,-11c4381,154,4381,154,4381,154v-1,,-1,,-1,c4377,160,4372,164,4367,167v-6,3,-11,4,-18,4c4340,171,4333,170,4326,167v-6,-3,-11,-7,-15,-12c4306,150,4303,144,4301,137v-2,-8,-3,-15,-3,-23c4298,106,4299,99,4302,92v2,-7,5,-13,9,-18c4316,69,4321,64,4327,61v7,-3,14,-4,22,-4c4363,57,4374,63,4380,75v1,,1,,1,c4381,60,4381,60,4381,60v36,,36,,36,hal4417,162hdxm4381,115v,-4,,-7,-1,-11c4379,101,4378,98,4376,95v-2,-3,-4,-5,-7,-7c4366,87,4363,86,4358,86v-4,,-7,1,-10,2c4345,90,4343,92,4341,95v-2,3,-3,6,-4,9c4337,108,4336,111,4336,115v,3,1,7,1,10c4338,128,4340,131,4341,134v2,2,4,4,7,6c4351,142,4354,142,4358,142v4,,8,,11,-2c4372,139,4374,137,4376,134v2,-2,3,-5,4,-8c4381,122,4381,119,4381,115xe" fillcolor="#4d4d4f" stroked="f">
          <v:path arrowok="t"/>
          <o:lock v:ext="edit" verticies="t"/>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80" w:type="dxa"/>
      <w:tblLayout w:type="fixed"/>
      <w:tblCellMar>
        <w:left w:w="0" w:type="dxa"/>
        <w:right w:w="0" w:type="dxa"/>
      </w:tblCellMar>
      <w:tblLook w:val="01E0"/>
    </w:tblPr>
    <w:tblGrid>
      <w:gridCol w:w="6352"/>
      <w:gridCol w:w="1332"/>
      <w:gridCol w:w="396"/>
    </w:tblGrid>
    <w:tr w:rsidR="00B041E7" w:rsidRPr="00915B1C">
      <w:tc>
        <w:tcPr>
          <w:tcW w:w="6352" w:type="dxa"/>
          <w:shd w:val="clear" w:color="auto" w:fill="auto"/>
        </w:tcPr>
        <w:p w:rsidR="00B041E7" w:rsidRPr="00915B1C" w:rsidRDefault="00B041E7" w:rsidP="00915B1C">
          <w:pPr>
            <w:pStyle w:val="Footer"/>
            <w:ind w:right="28"/>
            <w:jc w:val="right"/>
            <w:rPr>
              <w:sz w:val="2"/>
              <w:szCs w:val="2"/>
            </w:rPr>
          </w:pPr>
        </w:p>
      </w:tc>
      <w:tc>
        <w:tcPr>
          <w:tcW w:w="1332" w:type="dxa"/>
          <w:tcBorders>
            <w:top w:val="single" w:sz="2" w:space="0" w:color="505050"/>
          </w:tcBorders>
          <w:shd w:val="clear" w:color="auto" w:fill="auto"/>
        </w:tcPr>
        <w:p w:rsidR="00B041E7" w:rsidRPr="00915B1C" w:rsidRDefault="00B041E7" w:rsidP="00915B1C">
          <w:pPr>
            <w:pStyle w:val="Footer"/>
            <w:ind w:right="28"/>
            <w:jc w:val="right"/>
            <w:rPr>
              <w:sz w:val="2"/>
              <w:szCs w:val="2"/>
            </w:rPr>
          </w:pPr>
        </w:p>
      </w:tc>
      <w:tc>
        <w:tcPr>
          <w:tcW w:w="396" w:type="dxa"/>
          <w:shd w:val="clear" w:color="auto" w:fill="auto"/>
        </w:tcPr>
        <w:p w:rsidR="00B041E7" w:rsidRPr="00915B1C" w:rsidRDefault="00B041E7" w:rsidP="00332011">
          <w:pPr>
            <w:pStyle w:val="Footer"/>
            <w:rPr>
              <w:sz w:val="2"/>
              <w:szCs w:val="2"/>
            </w:rPr>
          </w:pPr>
        </w:p>
      </w:tc>
    </w:tr>
    <w:tr w:rsidR="00B041E7" w:rsidRPr="002E4DDC">
      <w:tc>
        <w:tcPr>
          <w:tcW w:w="7684" w:type="dxa"/>
          <w:gridSpan w:val="2"/>
          <w:shd w:val="clear" w:color="auto" w:fill="auto"/>
        </w:tcPr>
        <w:p w:rsidR="00B041E7" w:rsidRPr="002E4DDC" w:rsidRDefault="00B041E7" w:rsidP="00915B1C">
          <w:pPr>
            <w:pStyle w:val="Footer"/>
            <w:ind w:right="28"/>
            <w:jc w:val="right"/>
            <w:rPr>
              <w:color w:val="505050"/>
            </w:rPr>
          </w:pPr>
          <w:r w:rsidRPr="002E4DDC">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2E4DDC">
            <w:rPr>
              <w:color w:val="505050"/>
            </w:rPr>
            <w:t xml:space="preserve">   |   </w:t>
          </w:r>
          <w:fldSimple w:instr=" PAGE  \* roman  \* MERGEFORMAT ">
            <w:r>
              <w:rPr>
                <w:noProof/>
                <w:color w:val="505050"/>
              </w:rPr>
              <w:t>xiii</w:t>
            </w:r>
          </w:fldSimple>
        </w:p>
      </w:tc>
      <w:tc>
        <w:tcPr>
          <w:tcW w:w="396" w:type="dxa"/>
          <w:shd w:val="clear" w:color="auto" w:fill="auto"/>
        </w:tcPr>
        <w:p w:rsidR="00B041E7" w:rsidRPr="002E4DDC" w:rsidRDefault="00B041E7" w:rsidP="00332011">
          <w:pPr>
            <w:pStyle w:val="Footer"/>
            <w:rPr>
              <w:color w:val="505050"/>
            </w:rPr>
          </w:pPr>
        </w:p>
      </w:tc>
    </w:tr>
  </w:tbl>
  <w:p w:rsidR="00B041E7" w:rsidRDefault="00B041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63" w:type="dxa"/>
      <w:tblLayout w:type="fixed"/>
      <w:tblCellMar>
        <w:left w:w="0" w:type="dxa"/>
        <w:right w:w="0" w:type="dxa"/>
      </w:tblCellMar>
      <w:tblLook w:val="01E0"/>
    </w:tblPr>
    <w:tblGrid>
      <w:gridCol w:w="1311"/>
      <w:gridCol w:w="6352"/>
    </w:tblGrid>
    <w:tr w:rsidR="00B041E7" w:rsidRPr="00915B1C">
      <w:tc>
        <w:tcPr>
          <w:tcW w:w="1311" w:type="dxa"/>
          <w:tcBorders>
            <w:top w:val="single" w:sz="2" w:space="0" w:color="505050"/>
          </w:tcBorders>
          <w:shd w:val="clear" w:color="auto" w:fill="auto"/>
        </w:tcPr>
        <w:p w:rsidR="00B041E7" w:rsidRPr="00915B1C" w:rsidRDefault="00B041E7" w:rsidP="00332011">
          <w:pPr>
            <w:pStyle w:val="Footer"/>
            <w:rPr>
              <w:sz w:val="2"/>
              <w:szCs w:val="2"/>
            </w:rPr>
          </w:pPr>
        </w:p>
      </w:tc>
      <w:tc>
        <w:tcPr>
          <w:tcW w:w="6352" w:type="dxa"/>
          <w:shd w:val="clear" w:color="auto" w:fill="auto"/>
        </w:tcPr>
        <w:p w:rsidR="00B041E7" w:rsidRPr="00915B1C" w:rsidRDefault="00B041E7" w:rsidP="00332011">
          <w:pPr>
            <w:pStyle w:val="Footer"/>
            <w:rPr>
              <w:sz w:val="2"/>
              <w:szCs w:val="2"/>
            </w:rPr>
          </w:pPr>
        </w:p>
      </w:tc>
    </w:tr>
    <w:tr w:rsidR="00B041E7" w:rsidRPr="002E4DDC">
      <w:tc>
        <w:tcPr>
          <w:tcW w:w="7663" w:type="dxa"/>
          <w:gridSpan w:val="2"/>
          <w:shd w:val="clear" w:color="auto" w:fill="auto"/>
        </w:tcPr>
        <w:p w:rsidR="00B041E7" w:rsidRPr="002E4DDC" w:rsidRDefault="00B041E7" w:rsidP="00332011">
          <w:pPr>
            <w:pStyle w:val="Footer"/>
            <w:rPr>
              <w:color w:val="505050"/>
            </w:rPr>
          </w:pPr>
          <w:fldSimple w:instr=" PAGE  \* roman  \* MERGEFORMAT ">
            <w:r w:rsidR="008E6D33" w:rsidRPr="008E6D33">
              <w:rPr>
                <w:noProof/>
                <w:color w:val="505050"/>
              </w:rPr>
              <w:t>iv</w:t>
            </w:r>
          </w:fldSimple>
          <w:r w:rsidRPr="002E4DDC">
            <w:rPr>
              <w:color w:val="505050"/>
            </w:rPr>
            <w:t xml:space="preserve">   |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2E4DDC">
            <w:rPr>
              <w:color w:val="505050"/>
            </w:rPr>
            <w:t xml:space="preserve">  </w:t>
          </w:r>
        </w:p>
      </w:tc>
    </w:tr>
  </w:tbl>
  <w:p w:rsidR="00B041E7" w:rsidRDefault="00B041E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80" w:type="dxa"/>
      <w:tblLayout w:type="fixed"/>
      <w:tblCellMar>
        <w:left w:w="0" w:type="dxa"/>
        <w:right w:w="0" w:type="dxa"/>
      </w:tblCellMar>
      <w:tblLook w:val="01E0"/>
    </w:tblPr>
    <w:tblGrid>
      <w:gridCol w:w="6352"/>
      <w:gridCol w:w="1332"/>
      <w:gridCol w:w="396"/>
    </w:tblGrid>
    <w:tr w:rsidR="00B041E7" w:rsidRPr="00915B1C">
      <w:tc>
        <w:tcPr>
          <w:tcW w:w="6352" w:type="dxa"/>
          <w:shd w:val="clear" w:color="auto" w:fill="auto"/>
        </w:tcPr>
        <w:p w:rsidR="00B041E7" w:rsidRPr="00915B1C" w:rsidRDefault="00B041E7" w:rsidP="00915B1C">
          <w:pPr>
            <w:pStyle w:val="Footer"/>
            <w:ind w:right="28"/>
            <w:jc w:val="right"/>
            <w:rPr>
              <w:sz w:val="2"/>
              <w:szCs w:val="2"/>
            </w:rPr>
          </w:pPr>
        </w:p>
      </w:tc>
      <w:tc>
        <w:tcPr>
          <w:tcW w:w="1332" w:type="dxa"/>
          <w:tcBorders>
            <w:top w:val="single" w:sz="2" w:space="0" w:color="505050"/>
          </w:tcBorders>
          <w:shd w:val="clear" w:color="auto" w:fill="auto"/>
        </w:tcPr>
        <w:p w:rsidR="00B041E7" w:rsidRPr="00915B1C" w:rsidRDefault="00B041E7" w:rsidP="00915B1C">
          <w:pPr>
            <w:pStyle w:val="Footer"/>
            <w:ind w:right="28"/>
            <w:jc w:val="right"/>
            <w:rPr>
              <w:sz w:val="2"/>
              <w:szCs w:val="2"/>
            </w:rPr>
          </w:pPr>
        </w:p>
      </w:tc>
      <w:tc>
        <w:tcPr>
          <w:tcW w:w="396" w:type="dxa"/>
          <w:shd w:val="clear" w:color="auto" w:fill="auto"/>
        </w:tcPr>
        <w:p w:rsidR="00B041E7" w:rsidRPr="00915B1C" w:rsidRDefault="00B041E7" w:rsidP="00332011">
          <w:pPr>
            <w:pStyle w:val="Footer"/>
            <w:rPr>
              <w:sz w:val="2"/>
              <w:szCs w:val="2"/>
            </w:rPr>
          </w:pPr>
        </w:p>
      </w:tc>
    </w:tr>
    <w:tr w:rsidR="00B041E7" w:rsidRPr="002E4DDC">
      <w:tc>
        <w:tcPr>
          <w:tcW w:w="7684" w:type="dxa"/>
          <w:gridSpan w:val="2"/>
          <w:shd w:val="clear" w:color="auto" w:fill="auto"/>
        </w:tcPr>
        <w:p w:rsidR="00B041E7" w:rsidRPr="002E4DDC" w:rsidRDefault="00B041E7" w:rsidP="00915B1C">
          <w:pPr>
            <w:pStyle w:val="Footer"/>
            <w:ind w:right="28"/>
            <w:jc w:val="right"/>
            <w:rPr>
              <w:color w:val="505050"/>
            </w:rPr>
          </w:pPr>
          <w:r w:rsidRPr="002E4DDC">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2E4DDC">
            <w:rPr>
              <w:color w:val="505050"/>
            </w:rPr>
            <w:t xml:space="preserve">   |   </w:t>
          </w:r>
          <w:fldSimple w:instr=" PAGE  \* roman  \* MERGEFORMAT ">
            <w:r>
              <w:rPr>
                <w:noProof/>
                <w:color w:val="505050"/>
              </w:rPr>
              <w:t>xiii</w:t>
            </w:r>
          </w:fldSimple>
        </w:p>
      </w:tc>
      <w:tc>
        <w:tcPr>
          <w:tcW w:w="396" w:type="dxa"/>
          <w:shd w:val="clear" w:color="auto" w:fill="auto"/>
        </w:tcPr>
        <w:p w:rsidR="00B041E7" w:rsidRPr="002E4DDC" w:rsidRDefault="00B041E7" w:rsidP="00332011">
          <w:pPr>
            <w:pStyle w:val="Footer"/>
            <w:rPr>
              <w:color w:val="505050"/>
            </w:rPr>
          </w:pPr>
        </w:p>
      </w:tc>
    </w:tr>
  </w:tbl>
  <w:p w:rsidR="00B041E7" w:rsidRDefault="00B041E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84" w:type="dxa"/>
      <w:tblLayout w:type="fixed"/>
      <w:tblCellMar>
        <w:left w:w="0" w:type="dxa"/>
        <w:right w:w="0" w:type="dxa"/>
      </w:tblCellMar>
      <w:tblLook w:val="01E0"/>
    </w:tblPr>
    <w:tblGrid>
      <w:gridCol w:w="6352"/>
      <w:gridCol w:w="1332"/>
    </w:tblGrid>
    <w:tr w:rsidR="00B041E7" w:rsidRPr="00915B1C">
      <w:tc>
        <w:tcPr>
          <w:tcW w:w="6352" w:type="dxa"/>
          <w:shd w:val="clear" w:color="auto" w:fill="auto"/>
        </w:tcPr>
        <w:p w:rsidR="00B041E7" w:rsidRPr="00915B1C" w:rsidRDefault="00B041E7" w:rsidP="00915B1C">
          <w:pPr>
            <w:pStyle w:val="Footer"/>
            <w:ind w:right="28"/>
            <w:jc w:val="right"/>
            <w:rPr>
              <w:sz w:val="2"/>
              <w:szCs w:val="2"/>
            </w:rPr>
          </w:pPr>
        </w:p>
      </w:tc>
      <w:tc>
        <w:tcPr>
          <w:tcW w:w="1332" w:type="dxa"/>
          <w:tcBorders>
            <w:top w:val="single" w:sz="2" w:space="0" w:color="505050"/>
          </w:tcBorders>
          <w:shd w:val="clear" w:color="auto" w:fill="auto"/>
        </w:tcPr>
        <w:p w:rsidR="00B041E7" w:rsidRPr="00915B1C" w:rsidRDefault="00B041E7" w:rsidP="00915B1C">
          <w:pPr>
            <w:pStyle w:val="Footer"/>
            <w:ind w:right="28"/>
            <w:jc w:val="right"/>
            <w:rPr>
              <w:sz w:val="2"/>
              <w:szCs w:val="2"/>
            </w:rPr>
          </w:pPr>
        </w:p>
      </w:tc>
    </w:tr>
    <w:tr w:rsidR="00B041E7" w:rsidRPr="002E4DDC">
      <w:tc>
        <w:tcPr>
          <w:tcW w:w="7684" w:type="dxa"/>
          <w:gridSpan w:val="2"/>
          <w:shd w:val="clear" w:color="auto" w:fill="auto"/>
        </w:tcPr>
        <w:p w:rsidR="00B041E7" w:rsidRPr="002E4DDC" w:rsidRDefault="00B041E7" w:rsidP="00915B1C">
          <w:pPr>
            <w:pStyle w:val="Footer"/>
            <w:ind w:right="28"/>
            <w:jc w:val="right"/>
            <w:rPr>
              <w:color w:val="505050"/>
            </w:rPr>
          </w:pPr>
          <w:r w:rsidRPr="002E4DDC">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906F40">
            <w:rPr>
              <w:rFonts w:ascii="HelveticaNeueLT Std" w:hAnsi="HelveticaNeueLT Std"/>
              <w:color w:val="505050"/>
            </w:rPr>
            <w:t xml:space="preserve"> </w:t>
          </w:r>
          <w:r w:rsidRPr="002E4DDC">
            <w:rPr>
              <w:color w:val="505050"/>
            </w:rPr>
            <w:t xml:space="preserve">  |   </w:t>
          </w:r>
          <w:fldSimple w:instr=" PAGE  \* roman  \* MERGEFORMAT ">
            <w:r w:rsidR="008E6D33" w:rsidRPr="008E6D33">
              <w:rPr>
                <w:noProof/>
                <w:color w:val="505050"/>
              </w:rPr>
              <w:t>iii</w:t>
            </w:r>
          </w:fldSimple>
        </w:p>
      </w:tc>
    </w:tr>
  </w:tbl>
  <w:p w:rsidR="00B041E7" w:rsidRDefault="00B041E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92" w:type="dxa"/>
      <w:tblLayout w:type="fixed"/>
      <w:tblCellMar>
        <w:left w:w="0" w:type="dxa"/>
        <w:right w:w="0" w:type="dxa"/>
      </w:tblCellMar>
      <w:tblLook w:val="01E0"/>
    </w:tblPr>
    <w:tblGrid>
      <w:gridCol w:w="1311"/>
      <w:gridCol w:w="6381"/>
    </w:tblGrid>
    <w:tr w:rsidR="00B041E7" w:rsidRPr="00915B1C">
      <w:tc>
        <w:tcPr>
          <w:tcW w:w="1311" w:type="dxa"/>
          <w:tcBorders>
            <w:top w:val="single" w:sz="2" w:space="0" w:color="auto"/>
          </w:tcBorders>
          <w:shd w:val="clear" w:color="auto" w:fill="auto"/>
        </w:tcPr>
        <w:p w:rsidR="00B041E7" w:rsidRPr="00915B1C" w:rsidRDefault="00B041E7" w:rsidP="00332011">
          <w:pPr>
            <w:pStyle w:val="Footer"/>
            <w:rPr>
              <w:sz w:val="2"/>
              <w:szCs w:val="2"/>
            </w:rPr>
          </w:pPr>
        </w:p>
      </w:tc>
      <w:tc>
        <w:tcPr>
          <w:tcW w:w="6381" w:type="dxa"/>
          <w:shd w:val="clear" w:color="auto" w:fill="auto"/>
        </w:tcPr>
        <w:p w:rsidR="00B041E7" w:rsidRPr="00915B1C" w:rsidRDefault="00B041E7" w:rsidP="00332011">
          <w:pPr>
            <w:pStyle w:val="Footer"/>
            <w:rPr>
              <w:sz w:val="2"/>
              <w:szCs w:val="2"/>
            </w:rPr>
          </w:pPr>
        </w:p>
      </w:tc>
    </w:tr>
    <w:tr w:rsidR="00B041E7">
      <w:tc>
        <w:tcPr>
          <w:tcW w:w="7692" w:type="dxa"/>
          <w:gridSpan w:val="2"/>
          <w:shd w:val="clear" w:color="auto" w:fill="auto"/>
        </w:tcPr>
        <w:p w:rsidR="00B041E7" w:rsidRPr="00575AC5" w:rsidRDefault="00B041E7" w:rsidP="00332011">
          <w:pPr>
            <w:pStyle w:val="Footer"/>
            <w:rPr>
              <w:color w:val="505050"/>
            </w:rPr>
          </w:pPr>
          <w:fldSimple w:instr=" PAGE  \* Arabic  \* MERGEFORMAT ">
            <w:r w:rsidR="008E6D33" w:rsidRPr="008E6D33">
              <w:rPr>
                <w:noProof/>
                <w:color w:val="505050"/>
              </w:rPr>
              <w:t>32</w:t>
            </w:r>
          </w:fldSimple>
          <w:r w:rsidRPr="00575AC5">
            <w:rPr>
              <w:color w:val="505050"/>
            </w:rPr>
            <w:t xml:space="preserve">   |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575AC5">
            <w:rPr>
              <w:color w:val="505050"/>
            </w:rPr>
            <w:t xml:space="preserve">  </w:t>
          </w:r>
        </w:p>
      </w:tc>
    </w:tr>
  </w:tbl>
  <w:p w:rsidR="00B041E7" w:rsidRDefault="00B041E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683" w:type="dxa"/>
      <w:tblLayout w:type="fixed"/>
      <w:tblCellMar>
        <w:left w:w="0" w:type="dxa"/>
        <w:right w:w="0" w:type="dxa"/>
      </w:tblCellMar>
      <w:tblLook w:val="01E0"/>
    </w:tblPr>
    <w:tblGrid>
      <w:gridCol w:w="6355"/>
      <w:gridCol w:w="1328"/>
    </w:tblGrid>
    <w:tr w:rsidR="00B041E7" w:rsidRPr="00915B1C">
      <w:tc>
        <w:tcPr>
          <w:tcW w:w="6355" w:type="dxa"/>
          <w:shd w:val="clear" w:color="auto" w:fill="auto"/>
        </w:tcPr>
        <w:p w:rsidR="00B041E7" w:rsidRPr="00915B1C" w:rsidRDefault="00B041E7" w:rsidP="00915B1C">
          <w:pPr>
            <w:pStyle w:val="Footer"/>
            <w:ind w:right="28"/>
            <w:jc w:val="right"/>
            <w:rPr>
              <w:sz w:val="2"/>
              <w:szCs w:val="2"/>
            </w:rPr>
          </w:pPr>
        </w:p>
      </w:tc>
      <w:tc>
        <w:tcPr>
          <w:tcW w:w="1328" w:type="dxa"/>
          <w:tcBorders>
            <w:top w:val="single" w:sz="2" w:space="0" w:color="auto"/>
          </w:tcBorders>
          <w:shd w:val="clear" w:color="auto" w:fill="auto"/>
        </w:tcPr>
        <w:p w:rsidR="00B041E7" w:rsidRPr="00915B1C" w:rsidRDefault="00B041E7" w:rsidP="00915B1C">
          <w:pPr>
            <w:pStyle w:val="Footer"/>
            <w:ind w:right="28"/>
            <w:jc w:val="right"/>
            <w:rPr>
              <w:sz w:val="2"/>
              <w:szCs w:val="2"/>
            </w:rPr>
          </w:pPr>
        </w:p>
      </w:tc>
    </w:tr>
    <w:tr w:rsidR="00B041E7">
      <w:tc>
        <w:tcPr>
          <w:tcW w:w="7683" w:type="dxa"/>
          <w:gridSpan w:val="2"/>
          <w:shd w:val="clear" w:color="auto" w:fill="auto"/>
        </w:tcPr>
        <w:p w:rsidR="00B041E7" w:rsidRPr="00575AC5" w:rsidRDefault="00B041E7" w:rsidP="00915B1C">
          <w:pPr>
            <w:pStyle w:val="Footer"/>
            <w:ind w:right="28"/>
            <w:jc w:val="right"/>
            <w:rPr>
              <w:color w:val="505050"/>
            </w:rPr>
          </w:pPr>
          <w:r w:rsidRPr="00575AC5">
            <w:rPr>
              <w:color w:val="505050"/>
            </w:rPr>
            <w:t xml:space="preserve">   </w:t>
          </w:r>
          <w:r w:rsidRPr="00821A88">
            <w:rPr>
              <w:rFonts w:ascii="HelveticaNeueLT Std Med" w:hAnsi="HelveticaNeueLT Std Med"/>
              <w:b/>
              <w:noProof/>
              <w:color w:val="505050"/>
              <w:spacing w:val="-16"/>
              <w:sz w:val="20"/>
              <w:szCs w:val="20"/>
            </w:rPr>
            <w:t>a</w:t>
          </w:r>
          <w:r w:rsidRPr="00AE091D">
            <w:rPr>
              <w:rFonts w:ascii="HelveticaNeueLT Std Med" w:hAnsi="HelveticaNeueLT Std Med"/>
              <w:b/>
              <w:noProof/>
              <w:color w:val="505050"/>
              <w:spacing w:val="-15"/>
              <w:sz w:val="20"/>
              <w:szCs w:val="20"/>
            </w:rPr>
            <w:t>c</w:t>
          </w:r>
          <w:r w:rsidRPr="00821A88">
            <w:rPr>
              <w:rFonts w:ascii="HelveticaNeueLT Std Med" w:hAnsi="HelveticaNeueLT Std Med"/>
              <w:b/>
              <w:noProof/>
              <w:color w:val="505050"/>
              <w:spacing w:val="-16"/>
              <w:sz w:val="20"/>
              <w:szCs w:val="20"/>
            </w:rPr>
            <w:t>m</w:t>
          </w:r>
          <w:r w:rsidRPr="00FD2C2F">
            <w:rPr>
              <w:rFonts w:ascii="HelveticaNeueLT Std Med" w:hAnsi="HelveticaNeueLT Std Med"/>
              <w:b/>
              <w:noProof/>
              <w:color w:val="505050"/>
              <w:spacing w:val="-14"/>
              <w:sz w:val="20"/>
              <w:szCs w:val="20"/>
            </w:rPr>
            <w:t>a</w:t>
          </w:r>
          <w:r w:rsidRPr="00575AC5">
            <w:rPr>
              <w:color w:val="505050"/>
            </w:rPr>
            <w:t xml:space="preserve">   |   </w:t>
          </w:r>
          <w:fldSimple w:instr=" PAGE  \* Arabic  \* MERGEFORMAT ">
            <w:r w:rsidR="008E6D33" w:rsidRPr="008E6D33">
              <w:rPr>
                <w:noProof/>
                <w:color w:val="505050"/>
              </w:rPr>
              <w:t>31</w:t>
            </w:r>
          </w:fldSimple>
        </w:p>
      </w:tc>
    </w:tr>
  </w:tbl>
  <w:p w:rsidR="00B041E7" w:rsidRDefault="00B04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E7" w:rsidRDefault="00B041E7">
      <w:r>
        <w:separator/>
      </w:r>
    </w:p>
  </w:footnote>
  <w:footnote w:type="continuationSeparator" w:id="0">
    <w:p w:rsidR="00B041E7" w:rsidRDefault="00B041E7">
      <w:r>
        <w:continuationSeparator/>
      </w:r>
    </w:p>
  </w:footnote>
  <w:footnote w:id="1">
    <w:p w:rsidR="00B041E7" w:rsidRPr="007B34A1" w:rsidRDefault="00B041E7">
      <w:pPr>
        <w:pStyle w:val="FootnoteText"/>
        <w:rPr>
          <w:rFonts w:ascii="Arial" w:hAnsi="Arial" w:cs="Arial"/>
        </w:rPr>
      </w:pPr>
      <w:r w:rsidRPr="007B34A1">
        <w:rPr>
          <w:rStyle w:val="FootnoteReference"/>
          <w:rFonts w:cs="Arial"/>
        </w:rPr>
        <w:footnoteRef/>
      </w:r>
      <w:r w:rsidRPr="007B34A1">
        <w:rPr>
          <w:rFonts w:ascii="Arial" w:hAnsi="Arial" w:cs="Arial"/>
        </w:rPr>
        <w:t xml:space="preserve"> </w:t>
      </w:r>
      <w:hyperlink r:id="rId1" w:history="1">
        <w:r w:rsidRPr="007B34A1">
          <w:rPr>
            <w:rStyle w:val="Hyperlink"/>
            <w:rFonts w:ascii="Arial" w:hAnsi="Arial" w:cs="Arial"/>
          </w:rPr>
          <w:t>www.guardian.co.uk/commentisfree/2013/jun/12/david-simon-wrong-nsa-capabilities</w:t>
        </w:r>
      </w:hyperlink>
    </w:p>
  </w:footnote>
  <w:footnote w:id="2">
    <w:p w:rsidR="00B041E7" w:rsidRPr="007B34A1" w:rsidRDefault="00B041E7" w:rsidP="00C051CE">
      <w:pPr>
        <w:rPr>
          <w:rFonts w:ascii="Arial" w:hAnsi="Arial" w:cs="Arial"/>
        </w:rPr>
      </w:pPr>
      <w:r w:rsidRPr="007B34A1">
        <w:rPr>
          <w:rStyle w:val="FootnoteReference"/>
          <w:rFonts w:cs="Arial"/>
          <w:sz w:val="16"/>
          <w:szCs w:val="16"/>
        </w:rPr>
        <w:footnoteRef/>
      </w:r>
      <w:r w:rsidRPr="007B34A1">
        <w:rPr>
          <w:rFonts w:ascii="Arial" w:hAnsi="Arial" w:cs="Arial"/>
        </w:rPr>
        <w:t xml:space="preserve"> </w:t>
      </w:r>
      <w:r w:rsidRPr="007B34A1">
        <w:rPr>
          <w:rFonts w:ascii="Arial" w:hAnsi="Arial" w:cs="Arial"/>
          <w:sz w:val="16"/>
          <w:szCs w:val="16"/>
        </w:rPr>
        <w:t>In the Privacy Act, ‘</w:t>
      </w:r>
      <w:r w:rsidRPr="007B34A1">
        <w:rPr>
          <w:rFonts w:ascii="Arial" w:hAnsi="Arial" w:cs="Arial"/>
          <w:bCs/>
          <w:sz w:val="16"/>
          <w:szCs w:val="16"/>
        </w:rPr>
        <w:t>personal information’ </w:t>
      </w:r>
      <w:r w:rsidRPr="007B34A1">
        <w:rPr>
          <w:rFonts w:ascii="Arial" w:hAnsi="Arial" w:cs="Arial"/>
          <w:sz w:val="16"/>
          <w:szCs w:val="16"/>
        </w:rPr>
        <w:t>means information or an opinion (including information or an opinion forming part of a database and whether or not recorded in a material form) about an individual whose identity is apparent or can reasonably be ascertained from the information or opinion. It includes such things as an individual’s fingerprints, retina prints, body samples or genetic characteristics. It excludes information about an individual that is contained in a </w:t>
      </w:r>
      <w:hyperlink r:id="rId2" w:anchor="publicly_available_publication" w:history="1">
        <w:r w:rsidRPr="007B34A1">
          <w:rPr>
            <w:rStyle w:val="Hyperlink"/>
            <w:rFonts w:ascii="Arial" w:hAnsi="Arial" w:cs="Arial"/>
            <w:sz w:val="16"/>
            <w:szCs w:val="16"/>
          </w:rPr>
          <w:t>publicly available publication</w:t>
        </w:r>
      </w:hyperlink>
      <w:r w:rsidRPr="007B34A1">
        <w:rPr>
          <w:rFonts w:ascii="Arial" w:hAnsi="Arial" w:cs="Arial"/>
          <w:sz w:val="16"/>
          <w:szCs w:val="16"/>
        </w:rPr>
        <w:t>.</w:t>
      </w:r>
    </w:p>
  </w:footnote>
  <w:footnote w:id="3">
    <w:p w:rsidR="00B041E7" w:rsidRPr="007B34A1" w:rsidRDefault="00B041E7" w:rsidP="00C051CE">
      <w:pPr>
        <w:pStyle w:val="FootnoteText"/>
        <w:rPr>
          <w:rFonts w:ascii="Arial" w:hAnsi="Arial" w:cs="Arial"/>
        </w:rPr>
      </w:pPr>
      <w:r w:rsidRPr="007B34A1">
        <w:rPr>
          <w:rStyle w:val="FootnoteReference"/>
          <w:rFonts w:cs="Arial"/>
        </w:rPr>
        <w:footnoteRef/>
      </w:r>
      <w:r w:rsidRPr="007B34A1">
        <w:rPr>
          <w:rFonts w:ascii="Arial" w:hAnsi="Arial" w:cs="Arial"/>
        </w:rPr>
        <w:t xml:space="preserve"> World Economic Forum, </w:t>
      </w:r>
      <w:r w:rsidRPr="007B34A1">
        <w:rPr>
          <w:rFonts w:ascii="Arial" w:hAnsi="Arial" w:cs="Arial"/>
          <w:i/>
        </w:rPr>
        <w:t>Personal Data: The Emergence of a New Asset Class</w:t>
      </w:r>
      <w:r w:rsidRPr="007B34A1">
        <w:rPr>
          <w:rFonts w:ascii="Arial" w:hAnsi="Arial" w:cs="Arial"/>
        </w:rPr>
        <w:t>, January 2011, pp. 5–6.</w:t>
      </w:r>
    </w:p>
  </w:footnote>
  <w:footnote w:id="4">
    <w:p w:rsidR="00B041E7" w:rsidRPr="007B34A1" w:rsidRDefault="00B041E7" w:rsidP="00C051CE">
      <w:pPr>
        <w:pStyle w:val="FootnoteText"/>
        <w:rPr>
          <w:rFonts w:ascii="Arial" w:hAnsi="Arial" w:cs="Arial"/>
        </w:rPr>
      </w:pPr>
      <w:r w:rsidRPr="007B34A1">
        <w:rPr>
          <w:rStyle w:val="FootnoteReference"/>
          <w:rFonts w:cs="Arial"/>
        </w:rPr>
        <w:footnoteRef/>
      </w:r>
      <w:r w:rsidRPr="007B34A1">
        <w:rPr>
          <w:rFonts w:ascii="Arial" w:hAnsi="Arial" w:cs="Arial"/>
        </w:rPr>
        <w:t xml:space="preserve"> Forrester research cited in David Zax, ‘</w:t>
      </w:r>
      <w:hyperlink r:id="rId3" w:history="1">
        <w:r w:rsidRPr="007B34A1">
          <w:rPr>
            <w:rStyle w:val="Hyperlink"/>
            <w:rFonts w:ascii="Arial" w:hAnsi="Arial" w:cs="Arial"/>
          </w:rPr>
          <w:t>Is Personal Data the New Currency?</w:t>
        </w:r>
      </w:hyperlink>
      <w:r w:rsidRPr="007B34A1">
        <w:rPr>
          <w:rFonts w:ascii="Arial" w:hAnsi="Arial" w:cs="Arial"/>
        </w:rPr>
        <w:t xml:space="preserve">’ </w:t>
      </w:r>
      <w:r w:rsidRPr="007B34A1">
        <w:rPr>
          <w:rFonts w:ascii="Arial" w:hAnsi="Arial" w:cs="Arial"/>
          <w:i/>
        </w:rPr>
        <w:t>MIT Technology Review</w:t>
      </w:r>
      <w:r w:rsidRPr="007B34A1">
        <w:rPr>
          <w:rFonts w:ascii="Arial" w:hAnsi="Arial" w:cs="Arial"/>
        </w:rPr>
        <w:t>, 30 November 2011.</w:t>
      </w:r>
    </w:p>
  </w:footnote>
  <w:footnote w:id="5">
    <w:p w:rsidR="00B041E7" w:rsidRPr="007B34A1" w:rsidRDefault="00B041E7" w:rsidP="004A1FAC">
      <w:pPr>
        <w:pStyle w:val="FootnoteText"/>
        <w:rPr>
          <w:rFonts w:ascii="Arial" w:hAnsi="Arial" w:cs="Arial"/>
        </w:rPr>
      </w:pPr>
      <w:r w:rsidRPr="007B34A1">
        <w:rPr>
          <w:rStyle w:val="FootnoteReference"/>
          <w:rFonts w:cs="Arial"/>
        </w:rPr>
        <w:footnoteRef/>
      </w:r>
      <w:r w:rsidRPr="007B34A1">
        <w:rPr>
          <w:rFonts w:ascii="Arial" w:hAnsi="Arial" w:cs="Arial"/>
        </w:rPr>
        <w:t xml:space="preserve"> ACMA, </w:t>
      </w:r>
      <w:hyperlink r:id="rId4" w:history="1">
        <w:r w:rsidRPr="007B34A1">
          <w:rPr>
            <w:rStyle w:val="Hyperlink"/>
            <w:rFonts w:ascii="Arial" w:hAnsi="Arial" w:cs="Arial"/>
            <w:i/>
          </w:rPr>
          <w:t>Communications report 2011–12 series, Smartphones and tablets: Take-up and use in Australia</w:t>
        </w:r>
      </w:hyperlink>
      <w:r w:rsidRPr="007B34A1">
        <w:rPr>
          <w:rFonts w:ascii="Arial" w:hAnsi="Arial" w:cs="Arial"/>
        </w:rPr>
        <w:t>, 2012, p. 2.</w:t>
      </w:r>
    </w:p>
  </w:footnote>
  <w:footnote w:id="6">
    <w:p w:rsidR="00B041E7" w:rsidRPr="007B34A1" w:rsidRDefault="00B041E7" w:rsidP="006A60F9">
      <w:pPr>
        <w:pStyle w:val="FootnoteText"/>
        <w:rPr>
          <w:rFonts w:ascii="Arial" w:hAnsi="Arial" w:cs="Arial"/>
        </w:rPr>
      </w:pPr>
      <w:r w:rsidRPr="007B34A1">
        <w:rPr>
          <w:rStyle w:val="FootnoteReference"/>
          <w:rFonts w:cs="Arial"/>
        </w:rPr>
        <w:footnoteRef/>
      </w:r>
      <w:r w:rsidRPr="007B34A1">
        <w:rPr>
          <w:rFonts w:ascii="Arial" w:hAnsi="Arial" w:cs="Arial"/>
        </w:rPr>
        <w:t xml:space="preserve"> Nielsen, </w:t>
      </w:r>
      <w:r w:rsidRPr="007B34A1">
        <w:rPr>
          <w:rFonts w:ascii="Arial" w:hAnsi="Arial" w:cs="Arial"/>
          <w:i/>
        </w:rPr>
        <w:t>Australian Connected Consumers (15</w:t>
      </w:r>
      <w:r w:rsidRPr="007B34A1">
        <w:rPr>
          <w:rFonts w:ascii="Arial" w:hAnsi="Arial" w:cs="Arial"/>
          <w:i/>
          <w:vertAlign w:val="superscript"/>
        </w:rPr>
        <w:t>th</w:t>
      </w:r>
      <w:r w:rsidRPr="007B34A1">
        <w:rPr>
          <w:rFonts w:ascii="Arial" w:hAnsi="Arial" w:cs="Arial"/>
          <w:i/>
        </w:rPr>
        <w:t xml:space="preserve"> Edition)</w:t>
      </w:r>
      <w:r w:rsidRPr="007B34A1">
        <w:rPr>
          <w:rFonts w:ascii="Arial" w:hAnsi="Arial" w:cs="Arial"/>
        </w:rPr>
        <w:t>, 2013, p. 21.</w:t>
      </w:r>
    </w:p>
  </w:footnote>
  <w:footnote w:id="7">
    <w:p w:rsidR="00B041E7" w:rsidRPr="007B34A1" w:rsidRDefault="00B041E7" w:rsidP="004A1FAC">
      <w:pPr>
        <w:pStyle w:val="FootnoteText"/>
        <w:rPr>
          <w:rFonts w:ascii="Arial" w:hAnsi="Arial" w:cs="Arial"/>
        </w:rPr>
      </w:pPr>
      <w:r w:rsidRPr="007B34A1">
        <w:rPr>
          <w:rStyle w:val="FootnoteReference"/>
          <w:rFonts w:cs="Arial"/>
        </w:rPr>
        <w:footnoteRef/>
      </w:r>
      <w:r w:rsidRPr="007B34A1">
        <w:rPr>
          <w:rFonts w:ascii="Arial" w:hAnsi="Arial" w:cs="Arial"/>
        </w:rPr>
        <w:t xml:space="preserve"> Ericsson, </w:t>
      </w:r>
      <w:r w:rsidRPr="007B34A1">
        <w:rPr>
          <w:rFonts w:ascii="Arial" w:hAnsi="Arial" w:cs="Arial"/>
          <w:i/>
        </w:rPr>
        <w:t>Ericsson Mobility Report—On the pulse of the Networked Society</w:t>
      </w:r>
      <w:r w:rsidRPr="007B34A1">
        <w:rPr>
          <w:rFonts w:ascii="Arial" w:hAnsi="Arial" w:cs="Arial"/>
        </w:rPr>
        <w:t xml:space="preserve">, June 2013, p. 10, </w:t>
      </w:r>
      <w:hyperlink r:id="rId5" w:history="1">
        <w:r w:rsidRPr="007B34A1">
          <w:rPr>
            <w:rStyle w:val="Hyperlink"/>
            <w:rFonts w:ascii="Arial" w:hAnsi="Arial" w:cs="Arial"/>
          </w:rPr>
          <w:t>www.ericsson.com/ericsson-mobility-report</w:t>
        </w:r>
      </w:hyperlink>
      <w:r w:rsidRPr="007B34A1">
        <w:rPr>
          <w:rFonts w:ascii="Arial" w:hAnsi="Arial" w:cs="Arial"/>
        </w:rPr>
        <w:t xml:space="preserve">. </w:t>
      </w:r>
    </w:p>
  </w:footnote>
  <w:footnote w:id="8">
    <w:p w:rsidR="00B041E7" w:rsidRPr="007B34A1" w:rsidRDefault="00B041E7" w:rsidP="000162EB">
      <w:pPr>
        <w:pStyle w:val="FootnoteText"/>
        <w:rPr>
          <w:rFonts w:ascii="Arial" w:hAnsi="Arial" w:cs="Arial"/>
        </w:rPr>
      </w:pPr>
      <w:r w:rsidRPr="007B34A1">
        <w:rPr>
          <w:rStyle w:val="FootnoteReference"/>
          <w:rFonts w:cs="Arial"/>
        </w:rPr>
        <w:footnoteRef/>
      </w:r>
      <w:r w:rsidRPr="007B34A1">
        <w:rPr>
          <w:rFonts w:ascii="Arial" w:hAnsi="Arial" w:cs="Arial"/>
        </w:rPr>
        <w:t xml:space="preserve"> Hoffman, D., ‘Exposing Your Personal Information—There’s An App For That’, </w:t>
      </w:r>
      <w:hyperlink r:id="rId6" w:history="1">
        <w:r w:rsidRPr="007B34A1">
          <w:rPr>
            <w:rStyle w:val="Hyperlink"/>
            <w:rFonts w:ascii="Arial" w:hAnsi="Arial" w:cs="Arial"/>
          </w:rPr>
          <w:t>http://forums.juniper.net/t5/Security-Mobility-Now/Exposing-Your-Personal-Information-There-s-An-App-for-That/ba-p/166058</w:t>
        </w:r>
      </w:hyperlink>
      <w:r w:rsidRPr="007B34A1">
        <w:rPr>
          <w:rFonts w:ascii="Arial" w:hAnsi="Arial" w:cs="Arial"/>
        </w:rPr>
        <w:t xml:space="preserve">. </w:t>
      </w:r>
    </w:p>
  </w:footnote>
  <w:footnote w:id="9">
    <w:p w:rsidR="00B041E7" w:rsidRPr="007B34A1" w:rsidRDefault="00B041E7" w:rsidP="004A1FAC">
      <w:pPr>
        <w:pStyle w:val="FootnoteText"/>
        <w:rPr>
          <w:rFonts w:ascii="Arial" w:hAnsi="Arial" w:cs="Arial"/>
        </w:rPr>
      </w:pPr>
      <w:r w:rsidRPr="007B34A1">
        <w:rPr>
          <w:rStyle w:val="FootnoteReference"/>
          <w:rFonts w:cs="Arial"/>
        </w:rPr>
        <w:footnoteRef/>
      </w:r>
      <w:r w:rsidRPr="007B34A1">
        <w:rPr>
          <w:rFonts w:ascii="Arial" w:hAnsi="Arial" w:cs="Arial"/>
        </w:rPr>
        <w:t xml:space="preserve"> International Telecommunications Union, </w:t>
      </w:r>
      <w:r w:rsidRPr="007B34A1">
        <w:rPr>
          <w:rFonts w:ascii="Arial" w:hAnsi="Arial" w:cs="Arial"/>
          <w:i/>
        </w:rPr>
        <w:t>Trends in Telecommunications Reform 2013: Transnational Aspects of Regulation in a Networked Society</w:t>
      </w:r>
      <w:r w:rsidRPr="007B34A1">
        <w:rPr>
          <w:rFonts w:ascii="Arial" w:hAnsi="Arial" w:cs="Arial"/>
        </w:rPr>
        <w:t>, pp. 169–171.</w:t>
      </w:r>
    </w:p>
  </w:footnote>
  <w:footnote w:id="10">
    <w:p w:rsidR="00B041E7" w:rsidRPr="007B34A1" w:rsidRDefault="00B041E7" w:rsidP="000162EB">
      <w:pPr>
        <w:pStyle w:val="FootnoteText"/>
        <w:rPr>
          <w:rFonts w:ascii="Arial" w:hAnsi="Arial" w:cs="Arial"/>
        </w:rPr>
      </w:pPr>
      <w:r w:rsidRPr="007B34A1">
        <w:rPr>
          <w:rStyle w:val="FootnoteReference"/>
          <w:rFonts w:cs="Arial"/>
        </w:rPr>
        <w:footnoteRef/>
      </w:r>
      <w:r w:rsidRPr="007B34A1">
        <w:rPr>
          <w:rFonts w:ascii="Arial" w:hAnsi="Arial" w:cs="Arial"/>
        </w:rPr>
        <w:t xml:space="preserve"> Meet IAN: Our On-Demand Marketing Analytics, Identification, Verification and Customer Insights Engine, </w:t>
      </w:r>
      <w:hyperlink r:id="rId7" w:history="1">
        <w:r w:rsidRPr="007B34A1">
          <w:rPr>
            <w:rStyle w:val="Hyperlink"/>
            <w:rFonts w:ascii="Arial" w:hAnsi="Arial" w:cs="Arial"/>
          </w:rPr>
          <w:t>www.neustar.biz/infoservices/technology/ian</w:t>
        </w:r>
      </w:hyperlink>
      <w:r w:rsidRPr="007B34A1">
        <w:rPr>
          <w:rFonts w:ascii="Arial" w:hAnsi="Arial" w:cs="Arial"/>
        </w:rPr>
        <w:t xml:space="preserve">. </w:t>
      </w:r>
    </w:p>
  </w:footnote>
  <w:footnote w:id="11">
    <w:p w:rsidR="00B041E7" w:rsidRPr="007B34A1" w:rsidRDefault="00B041E7" w:rsidP="004A1FAC">
      <w:pPr>
        <w:pStyle w:val="FootnoteText"/>
        <w:rPr>
          <w:rFonts w:ascii="Arial" w:hAnsi="Arial" w:cs="Arial"/>
        </w:rPr>
      </w:pPr>
      <w:r w:rsidRPr="007B34A1">
        <w:rPr>
          <w:rStyle w:val="FootnoteReference"/>
          <w:rFonts w:cs="Arial"/>
        </w:rPr>
        <w:footnoteRef/>
      </w:r>
      <w:r w:rsidRPr="007B34A1">
        <w:rPr>
          <w:rFonts w:ascii="Arial" w:hAnsi="Arial" w:cs="Arial"/>
        </w:rPr>
        <w:t xml:space="preserve"> Obiodu, E., ‘Big Data Telco Services Case Study: Telefonica and Verizon Wireless’, Ovum Ltd, 12 March 2013, </w:t>
      </w:r>
      <w:hyperlink r:id="rId8" w:history="1">
        <w:r w:rsidRPr="007B34A1">
          <w:rPr>
            <w:rStyle w:val="Hyperlink"/>
            <w:rFonts w:ascii="Arial" w:hAnsi="Arial" w:cs="Arial"/>
          </w:rPr>
          <w:t>ovumkc.com/Products/Telecoms/Telco-Operations/Big-Data-Telco-Services-Case-Study-Telefonica-and-Verizon-Wireless/Telefonica</w:t>
        </w:r>
      </w:hyperlink>
      <w:r w:rsidRPr="007B34A1">
        <w:rPr>
          <w:rFonts w:ascii="Arial" w:hAnsi="Arial" w:cs="Arial"/>
        </w:rPr>
        <w:t xml:space="preserve">. </w:t>
      </w:r>
    </w:p>
  </w:footnote>
  <w:footnote w:id="12">
    <w:p w:rsidR="00B041E7" w:rsidRPr="007B34A1" w:rsidRDefault="00B041E7" w:rsidP="004A1FAC">
      <w:pPr>
        <w:pStyle w:val="FootnoteText"/>
        <w:rPr>
          <w:rFonts w:ascii="Arial" w:hAnsi="Arial" w:cs="Arial"/>
        </w:rPr>
      </w:pPr>
      <w:r w:rsidRPr="007B34A1">
        <w:rPr>
          <w:rStyle w:val="FootnoteReference"/>
          <w:rFonts w:cs="Arial"/>
        </w:rPr>
        <w:footnoteRef/>
      </w:r>
      <w:r w:rsidRPr="007B34A1">
        <w:rPr>
          <w:rFonts w:ascii="Arial" w:hAnsi="Arial" w:cs="Arial"/>
        </w:rPr>
        <w:t xml:space="preserve"> ‘No Hiding Place’, The </w:t>
      </w:r>
      <w:r w:rsidRPr="007B34A1">
        <w:rPr>
          <w:rFonts w:ascii="Arial" w:hAnsi="Arial" w:cs="Arial"/>
          <w:i/>
        </w:rPr>
        <w:t>Economist</w:t>
      </w:r>
      <w:r w:rsidRPr="007B34A1">
        <w:rPr>
          <w:rFonts w:ascii="Arial" w:hAnsi="Arial" w:cs="Arial"/>
        </w:rPr>
        <w:t xml:space="preserve">, 25 May 2013. Available at </w:t>
      </w:r>
      <w:hyperlink r:id="rId9" w:history="1">
        <w:r w:rsidRPr="007B34A1">
          <w:rPr>
            <w:rStyle w:val="Hyperlink"/>
            <w:rFonts w:ascii="Arial" w:hAnsi="Arial" w:cs="Arial"/>
          </w:rPr>
          <w:t>www.economist.com/news/science-and-technology/21578357-plan-assess-peoples-personal-characteristics-their-twitter-streams-no?fsrc=nlw|hig|5-23-2013|5763538|37806856|</w:t>
        </w:r>
      </w:hyperlink>
      <w:r w:rsidRPr="007B34A1">
        <w:rPr>
          <w:rFonts w:ascii="Arial" w:hAnsi="Arial" w:cs="Arial"/>
        </w:rPr>
        <w:t xml:space="preserve">. </w:t>
      </w:r>
    </w:p>
  </w:footnote>
  <w:footnote w:id="13">
    <w:p w:rsidR="00B041E7" w:rsidRPr="007B34A1" w:rsidRDefault="00B041E7" w:rsidP="00EF18FB">
      <w:pPr>
        <w:pStyle w:val="FootnoteText"/>
        <w:rPr>
          <w:rFonts w:ascii="Arial" w:hAnsi="Arial" w:cs="Arial"/>
        </w:rPr>
      </w:pPr>
      <w:r w:rsidRPr="007B34A1">
        <w:rPr>
          <w:rStyle w:val="FootnoteReference"/>
          <w:rFonts w:cs="Arial"/>
        </w:rPr>
        <w:footnoteRef/>
      </w:r>
      <w:r w:rsidRPr="007B34A1">
        <w:rPr>
          <w:rFonts w:ascii="Arial" w:hAnsi="Arial" w:cs="Arial"/>
        </w:rPr>
        <w:t xml:space="preserve"> See </w:t>
      </w:r>
      <w:hyperlink r:id="rId10" w:history="1">
        <w:r w:rsidRPr="007B34A1">
          <w:rPr>
            <w:rStyle w:val="Hyperlink"/>
            <w:rFonts w:ascii="Arial" w:hAnsi="Arial" w:cs="Arial"/>
          </w:rPr>
          <w:t>Personal.com</w:t>
        </w:r>
      </w:hyperlink>
      <w:r w:rsidRPr="007B34A1">
        <w:rPr>
          <w:rFonts w:ascii="Arial" w:hAnsi="Arial" w:cs="Arial"/>
        </w:rPr>
        <w:t>, accessed 21 May 2013.</w:t>
      </w:r>
    </w:p>
  </w:footnote>
  <w:footnote w:id="14">
    <w:p w:rsidR="00B041E7" w:rsidRPr="007B34A1" w:rsidRDefault="00B041E7" w:rsidP="00EF18FB">
      <w:pPr>
        <w:pStyle w:val="FootnoteText"/>
        <w:rPr>
          <w:rFonts w:ascii="Arial" w:hAnsi="Arial" w:cs="Arial"/>
        </w:rPr>
      </w:pPr>
      <w:r w:rsidRPr="007B34A1">
        <w:rPr>
          <w:rStyle w:val="FootnoteReference"/>
          <w:rFonts w:cs="Arial"/>
        </w:rPr>
        <w:footnoteRef/>
      </w:r>
      <w:r w:rsidRPr="007B34A1">
        <w:rPr>
          <w:rFonts w:ascii="Arial" w:hAnsi="Arial" w:cs="Arial"/>
        </w:rPr>
        <w:t xml:space="preserve"> Joshua Brustein, ‘</w:t>
      </w:r>
      <w:hyperlink r:id="rId11" w:history="1">
        <w:r w:rsidRPr="007B34A1">
          <w:rPr>
            <w:rStyle w:val="Hyperlink"/>
            <w:rFonts w:ascii="Arial" w:hAnsi="Arial" w:cs="Arial"/>
          </w:rPr>
          <w:t>Start-Ups Seek to Help Users Put a Price on Their Personal Data</w:t>
        </w:r>
      </w:hyperlink>
      <w:r w:rsidRPr="007B34A1">
        <w:rPr>
          <w:rFonts w:ascii="Arial" w:hAnsi="Arial" w:cs="Arial"/>
        </w:rPr>
        <w:t xml:space="preserve">’, 12 February 2012, </w:t>
      </w:r>
      <w:r w:rsidRPr="007B34A1">
        <w:rPr>
          <w:rFonts w:ascii="Arial" w:hAnsi="Arial" w:cs="Arial"/>
          <w:i/>
        </w:rPr>
        <w:t>New York Times</w:t>
      </w:r>
      <w:r w:rsidRPr="007B34A1">
        <w:rPr>
          <w:rFonts w:ascii="Arial" w:hAnsi="Arial" w:cs="Arial"/>
        </w:rPr>
        <w:t>, accessed 21 May 2013.</w:t>
      </w:r>
    </w:p>
  </w:footnote>
  <w:footnote w:id="15">
    <w:p w:rsidR="00B041E7" w:rsidRPr="007B34A1" w:rsidRDefault="00B041E7" w:rsidP="00EF18FB">
      <w:pPr>
        <w:pStyle w:val="FootnoteText"/>
        <w:rPr>
          <w:rFonts w:ascii="Arial" w:hAnsi="Arial" w:cs="Arial"/>
        </w:rPr>
      </w:pPr>
      <w:r w:rsidRPr="007B34A1">
        <w:rPr>
          <w:rStyle w:val="FootnoteReference"/>
          <w:rFonts w:cs="Arial"/>
        </w:rPr>
        <w:footnoteRef/>
      </w:r>
      <w:r w:rsidRPr="007B34A1">
        <w:rPr>
          <w:rFonts w:ascii="Arial" w:hAnsi="Arial" w:cs="Arial"/>
        </w:rPr>
        <w:t xml:space="preserve"> </w:t>
      </w:r>
      <w:hyperlink r:id="rId12" w:history="1">
        <w:r w:rsidRPr="007B34A1">
          <w:rPr>
            <w:rStyle w:val="Hyperlink"/>
            <w:rFonts w:ascii="Arial" w:hAnsi="Arial" w:cs="Arial"/>
            <w:i/>
          </w:rPr>
          <w:t>Privacy by Design and the Emerging Personal Data Ecosystem</w:t>
        </w:r>
      </w:hyperlink>
      <w:r w:rsidRPr="007B34A1">
        <w:rPr>
          <w:rFonts w:ascii="Arial" w:hAnsi="Arial" w:cs="Arial"/>
        </w:rPr>
        <w:t>, October 2012, case study of Personal.com, p. 10.</w:t>
      </w:r>
    </w:p>
  </w:footnote>
  <w:footnote w:id="16">
    <w:p w:rsidR="00B041E7" w:rsidRPr="007B34A1" w:rsidRDefault="00B041E7" w:rsidP="00EF18FB">
      <w:pPr>
        <w:pStyle w:val="FootnoteText"/>
        <w:rPr>
          <w:rFonts w:ascii="Arial" w:hAnsi="Arial" w:cs="Arial"/>
        </w:rPr>
      </w:pPr>
      <w:r w:rsidRPr="007B34A1">
        <w:rPr>
          <w:rStyle w:val="FootnoteReference"/>
          <w:rFonts w:cs="Arial"/>
        </w:rPr>
        <w:footnoteRef/>
      </w:r>
      <w:r w:rsidRPr="007B34A1">
        <w:rPr>
          <w:rFonts w:ascii="Arial" w:hAnsi="Arial" w:cs="Arial"/>
        </w:rPr>
        <w:t xml:space="preserve"> </w:t>
      </w:r>
      <w:hyperlink r:id="rId13" w:history="1">
        <w:r w:rsidRPr="007B34A1">
          <w:rPr>
            <w:rStyle w:val="Hyperlink"/>
            <w:rFonts w:ascii="Arial" w:hAnsi="Arial" w:cs="Arial"/>
          </w:rPr>
          <w:t>Reputation.com</w:t>
        </w:r>
      </w:hyperlink>
      <w:r w:rsidRPr="007B34A1">
        <w:rPr>
          <w:rFonts w:ascii="Arial" w:hAnsi="Arial" w:cs="Arial"/>
        </w:rPr>
        <w:t xml:space="preserve"> website, accessed 24 May 2013.</w:t>
      </w:r>
    </w:p>
  </w:footnote>
  <w:footnote w:id="17">
    <w:p w:rsidR="00B041E7" w:rsidRPr="007B34A1" w:rsidRDefault="00B041E7" w:rsidP="00EF18FB">
      <w:pPr>
        <w:pStyle w:val="FootnoteText"/>
        <w:rPr>
          <w:rFonts w:ascii="Arial" w:hAnsi="Arial" w:cs="Arial"/>
        </w:rPr>
      </w:pPr>
      <w:r w:rsidRPr="007B34A1">
        <w:rPr>
          <w:rStyle w:val="FootnoteReference"/>
          <w:rFonts w:cs="Arial"/>
        </w:rPr>
        <w:footnoteRef/>
      </w:r>
      <w:r w:rsidRPr="007B34A1">
        <w:rPr>
          <w:rFonts w:ascii="Arial" w:hAnsi="Arial" w:cs="Arial"/>
        </w:rPr>
        <w:t xml:space="preserve"> See </w:t>
      </w:r>
      <w:hyperlink r:id="rId14" w:history="1">
        <w:r>
          <w:rPr>
            <w:rStyle w:val="Hyperlink"/>
            <w:rFonts w:ascii="Arial" w:hAnsi="Arial" w:cs="Arial"/>
          </w:rPr>
          <w:t>www.rune.com.sg/index.php/products-solutions/products/deadbolt</w:t>
        </w:r>
      </w:hyperlink>
      <w:r w:rsidRPr="007B34A1">
        <w:rPr>
          <w:rFonts w:ascii="Arial" w:hAnsi="Arial" w:cs="Arial"/>
        </w:rPr>
        <w:t xml:space="preserve">. </w:t>
      </w:r>
    </w:p>
  </w:footnote>
  <w:footnote w:id="18">
    <w:p w:rsidR="00B041E7" w:rsidRPr="007B34A1" w:rsidRDefault="00B041E7" w:rsidP="00524E0F">
      <w:pPr>
        <w:rPr>
          <w:rFonts w:ascii="Arial" w:hAnsi="Arial" w:cs="Arial"/>
        </w:rPr>
      </w:pPr>
      <w:r w:rsidRPr="007B34A1">
        <w:rPr>
          <w:rStyle w:val="FootnoteReference"/>
          <w:rFonts w:cs="Arial"/>
          <w:sz w:val="16"/>
          <w:szCs w:val="16"/>
        </w:rPr>
        <w:footnoteRef/>
      </w:r>
      <w:r w:rsidRPr="007B34A1">
        <w:rPr>
          <w:rFonts w:ascii="Arial" w:hAnsi="Arial" w:cs="Arial"/>
        </w:rPr>
        <w:t xml:space="preserve"> </w:t>
      </w:r>
      <w:r w:rsidRPr="007B34A1">
        <w:rPr>
          <w:rFonts w:ascii="Arial" w:hAnsi="Arial" w:cs="Arial"/>
          <w:sz w:val="16"/>
          <w:szCs w:val="16"/>
        </w:rPr>
        <w:t xml:space="preserve">In the Privacy Act, </w:t>
      </w:r>
      <w:r w:rsidRPr="007B34A1">
        <w:rPr>
          <w:rFonts w:ascii="Arial" w:hAnsi="Arial" w:cs="Arial"/>
          <w:bCs/>
          <w:sz w:val="16"/>
          <w:szCs w:val="16"/>
        </w:rPr>
        <w:t>‘personal information’</w:t>
      </w:r>
      <w:r w:rsidRPr="007B34A1">
        <w:rPr>
          <w:rFonts w:ascii="Arial" w:hAnsi="Arial" w:cs="Arial"/>
          <w:b/>
          <w:bCs/>
          <w:sz w:val="16"/>
          <w:szCs w:val="16"/>
        </w:rPr>
        <w:t> </w:t>
      </w:r>
      <w:r w:rsidRPr="007B34A1">
        <w:rPr>
          <w:rFonts w:ascii="Arial" w:hAnsi="Arial" w:cs="Arial"/>
          <w:sz w:val="16"/>
          <w:szCs w:val="16"/>
        </w:rPr>
        <w:t>means information or an opinion (including information or an opinion forming part of a database and whether or not recorded in a material form) about an individual whose identity is apparent or can reasonably be ascertained from the information or opinion. It includes such things as an individual’s fingerprints, retina prints, body samples or genetic characteristics. It excludes information about an individual that is contained in a </w:t>
      </w:r>
      <w:hyperlink r:id="rId15" w:anchor="publicly_available_publication" w:history="1">
        <w:r w:rsidRPr="007B34A1">
          <w:rPr>
            <w:rStyle w:val="Hyperlink"/>
            <w:rFonts w:ascii="Arial" w:hAnsi="Arial" w:cs="Arial"/>
            <w:sz w:val="16"/>
            <w:szCs w:val="16"/>
          </w:rPr>
          <w:t>publicly available publication</w:t>
        </w:r>
      </w:hyperlink>
      <w:r w:rsidRPr="007B34A1">
        <w:rPr>
          <w:rFonts w:ascii="Arial" w:hAnsi="Arial" w:cs="Arial"/>
          <w:sz w:val="16"/>
          <w:szCs w:val="16"/>
        </w:rPr>
        <w:t>.</w:t>
      </w:r>
    </w:p>
  </w:footnote>
  <w:footnote w:id="19">
    <w:p w:rsidR="00B041E7" w:rsidRPr="007B34A1" w:rsidRDefault="00B041E7">
      <w:pPr>
        <w:pStyle w:val="FootnoteText"/>
        <w:rPr>
          <w:rFonts w:ascii="Arial" w:hAnsi="Arial" w:cs="Arial"/>
        </w:rPr>
      </w:pPr>
      <w:r w:rsidRPr="007B34A1">
        <w:rPr>
          <w:rStyle w:val="FootnoteReference"/>
          <w:rFonts w:cs="Arial"/>
        </w:rPr>
        <w:footnoteRef/>
      </w:r>
      <w:r w:rsidRPr="007B34A1">
        <w:rPr>
          <w:rFonts w:ascii="Arial" w:hAnsi="Arial" w:cs="Arial"/>
        </w:rPr>
        <w:t xml:space="preserve"> World Economic Forum, </w:t>
      </w:r>
      <w:r w:rsidRPr="007B34A1">
        <w:rPr>
          <w:rFonts w:ascii="Arial" w:hAnsi="Arial" w:cs="Arial"/>
          <w:i/>
        </w:rPr>
        <w:t>Personal Data: The Emergence of a New Asset Class</w:t>
      </w:r>
      <w:r w:rsidRPr="007B34A1">
        <w:rPr>
          <w:rFonts w:ascii="Arial" w:hAnsi="Arial" w:cs="Arial"/>
        </w:rPr>
        <w:t>, 2011, p. 9.</w:t>
      </w:r>
    </w:p>
  </w:footnote>
  <w:footnote w:id="20">
    <w:p w:rsidR="00B041E7" w:rsidRPr="007B34A1" w:rsidRDefault="00B041E7" w:rsidP="00035C81">
      <w:pPr>
        <w:pStyle w:val="FootnoteText"/>
        <w:rPr>
          <w:rFonts w:ascii="Arial" w:hAnsi="Arial" w:cs="Arial"/>
        </w:rPr>
      </w:pPr>
      <w:r w:rsidRPr="007B34A1">
        <w:rPr>
          <w:rStyle w:val="FootnoteReference"/>
          <w:rFonts w:cs="Arial"/>
        </w:rPr>
        <w:footnoteRef/>
      </w:r>
      <w:r w:rsidRPr="007B34A1">
        <w:rPr>
          <w:rFonts w:ascii="Arial" w:hAnsi="Arial" w:cs="Arial"/>
        </w:rPr>
        <w:t xml:space="preserve"> See Appendix 1 for a list of recent ACMA research activities relating to privacy and personal data in the media and communications environment.</w:t>
      </w:r>
    </w:p>
  </w:footnote>
  <w:footnote w:id="21">
    <w:p w:rsidR="00B041E7" w:rsidRPr="007B34A1" w:rsidRDefault="00B041E7" w:rsidP="00C06615">
      <w:pPr>
        <w:pStyle w:val="FootnoteText"/>
        <w:rPr>
          <w:rFonts w:ascii="Arial" w:hAnsi="Arial" w:cs="Arial"/>
        </w:rPr>
      </w:pPr>
      <w:r w:rsidRPr="007B34A1">
        <w:rPr>
          <w:rStyle w:val="FootnoteReference"/>
          <w:rFonts w:cs="Arial"/>
        </w:rPr>
        <w:footnoteRef/>
      </w:r>
      <w:r w:rsidRPr="007B34A1">
        <w:rPr>
          <w:rFonts w:ascii="Arial" w:hAnsi="Arial" w:cs="Arial"/>
        </w:rPr>
        <w:t xml:space="preserve"> </w:t>
      </w:r>
      <w:r w:rsidRPr="007B34A1">
        <w:rPr>
          <w:rFonts w:ascii="Arial" w:hAnsi="Arial" w:cs="Arial"/>
          <w:i/>
        </w:rPr>
        <w:t>Unisys Security Index</w:t>
      </w:r>
      <w:r w:rsidRPr="007B34A1">
        <w:rPr>
          <w:rFonts w:ascii="Arial" w:hAnsi="Arial" w:cs="Arial"/>
        </w:rPr>
        <w:t xml:space="preserve">, Australia, May 2013, available at </w:t>
      </w:r>
      <w:hyperlink r:id="rId16" w:history="1">
        <w:r w:rsidRPr="007B34A1">
          <w:rPr>
            <w:rStyle w:val="Hyperlink"/>
            <w:rFonts w:ascii="Arial" w:hAnsi="Arial" w:cs="Arial"/>
          </w:rPr>
          <w:t>www.unisyssecurityindex.com/usi/australia</w:t>
        </w:r>
      </w:hyperlink>
      <w:r w:rsidRPr="007B34A1">
        <w:rPr>
          <w:rFonts w:ascii="Arial" w:hAnsi="Arial" w:cs="Arial"/>
        </w:rPr>
        <w:t xml:space="preserve">. </w:t>
      </w:r>
    </w:p>
  </w:footnote>
  <w:footnote w:id="22">
    <w:p w:rsidR="00B041E7" w:rsidRPr="007B34A1" w:rsidRDefault="00B041E7" w:rsidP="00C06615">
      <w:pPr>
        <w:pStyle w:val="FootnoteText"/>
        <w:rPr>
          <w:rFonts w:ascii="Arial" w:hAnsi="Arial" w:cs="Arial"/>
        </w:rPr>
      </w:pPr>
      <w:r w:rsidRPr="007B34A1">
        <w:rPr>
          <w:rStyle w:val="FootnoteReference"/>
          <w:rFonts w:cs="Arial"/>
        </w:rPr>
        <w:footnoteRef/>
      </w:r>
      <w:r w:rsidRPr="007B34A1">
        <w:rPr>
          <w:rFonts w:ascii="Arial" w:hAnsi="Arial" w:cs="Arial"/>
        </w:rPr>
        <w:t xml:space="preserve"> ibid. </w:t>
      </w:r>
    </w:p>
  </w:footnote>
  <w:footnote w:id="23">
    <w:p w:rsidR="00B041E7" w:rsidRPr="007B34A1" w:rsidRDefault="00B041E7" w:rsidP="0089622E">
      <w:pPr>
        <w:pStyle w:val="FootnoteText"/>
        <w:rPr>
          <w:rFonts w:ascii="Arial" w:hAnsi="Arial" w:cs="Arial"/>
        </w:rPr>
      </w:pPr>
      <w:r w:rsidRPr="007B34A1">
        <w:rPr>
          <w:rStyle w:val="FootnoteReference"/>
          <w:rFonts w:cs="Arial"/>
        </w:rPr>
        <w:footnoteRef/>
      </w:r>
      <w:r w:rsidRPr="007B34A1">
        <w:rPr>
          <w:rFonts w:ascii="Arial" w:hAnsi="Arial" w:cs="Arial"/>
        </w:rPr>
        <w:t xml:space="preserve"> ACMA, </w:t>
      </w:r>
      <w:r w:rsidRPr="007B34A1">
        <w:rPr>
          <w:rFonts w:ascii="Arial" w:hAnsi="Arial" w:cs="Arial"/>
          <w:i/>
        </w:rPr>
        <w:t>Digital footprints and digital identities—Community research</w:t>
      </w:r>
      <w:r w:rsidRPr="007B34A1">
        <w:rPr>
          <w:rFonts w:ascii="Arial" w:hAnsi="Arial" w:cs="Arial"/>
        </w:rPr>
        <w:t>, 2013 (unpublished).</w:t>
      </w:r>
    </w:p>
  </w:footnote>
  <w:footnote w:id="24">
    <w:p w:rsidR="00B041E7" w:rsidRPr="007B34A1" w:rsidRDefault="00B041E7" w:rsidP="0089622E">
      <w:pPr>
        <w:pStyle w:val="FootnoteText"/>
        <w:rPr>
          <w:rFonts w:ascii="Arial" w:hAnsi="Arial" w:cs="Arial"/>
        </w:rPr>
      </w:pPr>
      <w:r w:rsidRPr="007B34A1">
        <w:rPr>
          <w:rStyle w:val="FootnoteReference"/>
          <w:rFonts w:cs="Arial"/>
        </w:rPr>
        <w:footnoteRef/>
      </w:r>
      <w:r w:rsidRPr="007B34A1">
        <w:rPr>
          <w:rFonts w:ascii="Arial" w:hAnsi="Arial" w:cs="Arial"/>
        </w:rPr>
        <w:t xml:space="preserve"> ibid.</w:t>
      </w:r>
    </w:p>
  </w:footnote>
  <w:footnote w:id="25">
    <w:p w:rsidR="00B041E7" w:rsidRPr="00B041E7" w:rsidRDefault="00B041E7" w:rsidP="00035C81">
      <w:pPr>
        <w:pStyle w:val="FootnoteText"/>
        <w:rPr>
          <w:rStyle w:val="Emphasis"/>
          <w:rFonts w:ascii="Arial" w:hAnsi="Arial" w:cs="Arial"/>
          <w:i w:val="0"/>
          <w:sz w:val="20"/>
          <w:szCs w:val="24"/>
        </w:rPr>
      </w:pPr>
      <w:r w:rsidRPr="007B34A1">
        <w:rPr>
          <w:rStyle w:val="FootnoteReference"/>
          <w:rFonts w:cs="Arial"/>
        </w:rPr>
        <w:footnoteRef/>
      </w:r>
      <w:r w:rsidRPr="007B34A1">
        <w:rPr>
          <w:rFonts w:ascii="Arial" w:hAnsi="Arial" w:cs="Arial"/>
        </w:rPr>
        <w:t xml:space="preserve"> ACMA, </w:t>
      </w:r>
      <w:hyperlink r:id="rId17" w:history="1">
        <w:r w:rsidRPr="007B34A1">
          <w:rPr>
            <w:rStyle w:val="Hyperlink"/>
            <w:rFonts w:ascii="Arial" w:hAnsi="Arial" w:cs="Arial"/>
            <w:i/>
          </w:rPr>
          <w:t>Australia’s progress in the digital economy: Participation, trust and confidence</w:t>
        </w:r>
      </w:hyperlink>
      <w:r w:rsidRPr="007B34A1">
        <w:rPr>
          <w:rStyle w:val="Emphasis"/>
          <w:rFonts w:ascii="Arial" w:hAnsi="Arial" w:cs="Arial"/>
        </w:rPr>
        <w:t xml:space="preserve">, </w:t>
      </w:r>
      <w:r w:rsidRPr="00B041E7">
        <w:rPr>
          <w:rStyle w:val="Emphasis"/>
          <w:rFonts w:ascii="Arial" w:hAnsi="Arial" w:cs="Arial"/>
          <w:i w:val="0"/>
        </w:rPr>
        <w:t xml:space="preserve">November 2012, </w:t>
      </w:r>
    </w:p>
    <w:p w:rsidR="00B041E7" w:rsidRPr="00B041E7" w:rsidRDefault="00B041E7" w:rsidP="00035C81">
      <w:pPr>
        <w:pStyle w:val="FootnoteText"/>
        <w:rPr>
          <w:rFonts w:ascii="Arial" w:hAnsi="Arial" w:cs="Arial"/>
          <w:i/>
        </w:rPr>
      </w:pPr>
      <w:proofErr w:type="gramStart"/>
      <w:r w:rsidRPr="00B041E7">
        <w:rPr>
          <w:rStyle w:val="Emphasis"/>
          <w:rFonts w:ascii="Arial" w:hAnsi="Arial" w:cs="Arial"/>
          <w:i w:val="0"/>
        </w:rPr>
        <w:t>p. 1.</w:t>
      </w:r>
      <w:proofErr w:type="gramEnd"/>
    </w:p>
  </w:footnote>
  <w:footnote w:id="26">
    <w:p w:rsidR="00B041E7" w:rsidRPr="007B34A1" w:rsidRDefault="00B041E7" w:rsidP="00035C81">
      <w:pPr>
        <w:pStyle w:val="FootnoteText"/>
        <w:rPr>
          <w:rFonts w:ascii="Arial" w:hAnsi="Arial" w:cs="Arial"/>
        </w:rPr>
      </w:pPr>
      <w:r w:rsidRPr="007B34A1">
        <w:rPr>
          <w:rStyle w:val="FootnoteReference"/>
          <w:rFonts w:cs="Arial"/>
        </w:rPr>
        <w:footnoteRef/>
      </w:r>
      <w:r w:rsidRPr="007B34A1">
        <w:rPr>
          <w:rFonts w:ascii="Arial" w:hAnsi="Arial" w:cs="Arial"/>
        </w:rPr>
        <w:t xml:space="preserve"> </w:t>
      </w:r>
      <w:proofErr w:type="gramStart"/>
      <w:r w:rsidRPr="007B34A1">
        <w:rPr>
          <w:rFonts w:ascii="Arial" w:hAnsi="Arial" w:cs="Arial"/>
        </w:rPr>
        <w:t xml:space="preserve">ACMA, </w:t>
      </w:r>
      <w:r w:rsidRPr="007B34A1">
        <w:rPr>
          <w:rFonts w:ascii="Arial" w:hAnsi="Arial" w:cs="Arial"/>
          <w:i/>
        </w:rPr>
        <w:t>Digital footprints and digital identities—Community research</w:t>
      </w:r>
      <w:r w:rsidRPr="007B34A1">
        <w:rPr>
          <w:rFonts w:ascii="Arial" w:hAnsi="Arial" w:cs="Arial"/>
        </w:rPr>
        <w:t>, 2013 (unpublished).</w:t>
      </w:r>
      <w:proofErr w:type="gramEnd"/>
    </w:p>
  </w:footnote>
  <w:footnote w:id="27">
    <w:p w:rsidR="00B041E7" w:rsidRPr="007B34A1" w:rsidRDefault="00B041E7" w:rsidP="00555247">
      <w:pPr>
        <w:pStyle w:val="FootnoteText"/>
        <w:rPr>
          <w:rFonts w:ascii="Arial" w:hAnsi="Arial" w:cs="Arial"/>
        </w:rPr>
      </w:pPr>
      <w:r w:rsidRPr="007B34A1">
        <w:rPr>
          <w:rStyle w:val="FootnoteReference"/>
          <w:rFonts w:cs="Arial"/>
        </w:rPr>
        <w:footnoteRef/>
      </w:r>
      <w:r w:rsidRPr="007B34A1">
        <w:rPr>
          <w:rFonts w:ascii="Arial" w:hAnsi="Arial" w:cs="Arial"/>
        </w:rPr>
        <w:t xml:space="preserve"> ‘How Location-Based Services are Transforming the Mobile Industry’, </w:t>
      </w:r>
      <w:r w:rsidRPr="007B34A1">
        <w:rPr>
          <w:rFonts w:ascii="Arial" w:hAnsi="Arial" w:cs="Arial"/>
          <w:i/>
        </w:rPr>
        <w:t>Business Insider Australia</w:t>
      </w:r>
      <w:r w:rsidRPr="007B34A1">
        <w:rPr>
          <w:rFonts w:ascii="Arial" w:hAnsi="Arial" w:cs="Arial"/>
        </w:rPr>
        <w:t xml:space="preserve">, </w:t>
      </w:r>
      <w:hyperlink r:id="rId18" w:history="1">
        <w:r w:rsidRPr="007B34A1">
          <w:rPr>
            <w:rStyle w:val="Hyperlink"/>
            <w:rFonts w:ascii="Arial" w:hAnsi="Arial" w:cs="Arial"/>
          </w:rPr>
          <w:t>http://au.businessinsider.com/location-data-is-transforming-mobile-2013-55</w:t>
        </w:r>
      </w:hyperlink>
      <w:r w:rsidRPr="007B34A1">
        <w:rPr>
          <w:rFonts w:ascii="Arial" w:hAnsi="Arial" w:cs="Arial"/>
        </w:rPr>
        <w:t xml:space="preserve">. </w:t>
      </w:r>
    </w:p>
  </w:footnote>
  <w:footnote w:id="28">
    <w:p w:rsidR="00B041E7" w:rsidRPr="007B34A1" w:rsidRDefault="00B041E7" w:rsidP="00555247">
      <w:pPr>
        <w:pStyle w:val="FootnoteText"/>
        <w:rPr>
          <w:rFonts w:ascii="Arial" w:hAnsi="Arial" w:cs="Arial"/>
        </w:rPr>
      </w:pPr>
      <w:r w:rsidRPr="007B34A1">
        <w:rPr>
          <w:rStyle w:val="FootnoteReference"/>
          <w:rFonts w:cs="Arial"/>
        </w:rPr>
        <w:footnoteRef/>
      </w:r>
      <w:r w:rsidRPr="007B34A1">
        <w:rPr>
          <w:rFonts w:ascii="Arial" w:hAnsi="Arial" w:cs="Arial"/>
        </w:rPr>
        <w:t xml:space="preserve"> ACMA, </w:t>
      </w:r>
      <w:hyperlink r:id="rId19" w:history="1">
        <w:r w:rsidRPr="007B34A1">
          <w:rPr>
            <w:rStyle w:val="Hyperlink"/>
            <w:rFonts w:ascii="Arial" w:hAnsi="Arial" w:cs="Arial"/>
            <w:i/>
          </w:rPr>
          <w:t>Here, there and everywhere—Consumer behaviour and location services</w:t>
        </w:r>
      </w:hyperlink>
      <w:r w:rsidRPr="007B34A1">
        <w:rPr>
          <w:rFonts w:ascii="Arial" w:hAnsi="Arial" w:cs="Arial"/>
        </w:rPr>
        <w:t xml:space="preserve">. </w:t>
      </w:r>
    </w:p>
  </w:footnote>
  <w:footnote w:id="29">
    <w:p w:rsidR="00B041E7" w:rsidRPr="007B34A1" w:rsidRDefault="00B041E7" w:rsidP="00035C81">
      <w:pPr>
        <w:pStyle w:val="FootnoteText"/>
        <w:rPr>
          <w:rFonts w:ascii="Arial" w:hAnsi="Arial" w:cs="Arial"/>
        </w:rPr>
      </w:pPr>
      <w:r w:rsidRPr="007B34A1">
        <w:rPr>
          <w:rStyle w:val="FootnoteReference"/>
          <w:rFonts w:cs="Arial"/>
        </w:rPr>
        <w:footnoteRef/>
      </w:r>
      <w:r w:rsidRPr="007B34A1">
        <w:rPr>
          <w:rFonts w:ascii="Arial" w:hAnsi="Arial" w:cs="Arial"/>
        </w:rPr>
        <w:t xml:space="preserve"> For information about the Financial Coalition Against Child Pornography see </w:t>
      </w:r>
      <w:hyperlink r:id="rId20" w:history="1">
        <w:r w:rsidRPr="007B34A1">
          <w:rPr>
            <w:rStyle w:val="Hyperlink"/>
            <w:rFonts w:ascii="Arial" w:hAnsi="Arial" w:cs="Arial"/>
          </w:rPr>
          <w:t>www.financialcoalition.se/internationellt-arbete/</w:t>
        </w:r>
      </w:hyperlink>
      <w:r w:rsidRPr="007B34A1">
        <w:rPr>
          <w:rFonts w:ascii="Arial" w:hAnsi="Arial" w:cs="Arial"/>
        </w:rPr>
        <w:t xml:space="preserve">. </w:t>
      </w:r>
    </w:p>
  </w:footnote>
  <w:footnote w:id="30">
    <w:p w:rsidR="00B041E7" w:rsidRPr="007B34A1" w:rsidRDefault="00B041E7">
      <w:pPr>
        <w:pStyle w:val="FootnoteText"/>
        <w:rPr>
          <w:rFonts w:ascii="Arial" w:hAnsi="Arial" w:cs="Arial"/>
        </w:rPr>
      </w:pPr>
      <w:r w:rsidRPr="007B34A1">
        <w:rPr>
          <w:rStyle w:val="FootnoteReference"/>
          <w:rFonts w:cs="Arial"/>
        </w:rPr>
        <w:footnoteRef/>
      </w:r>
      <w:r w:rsidRPr="007B34A1">
        <w:rPr>
          <w:rFonts w:ascii="Arial" w:hAnsi="Arial" w:cs="Arial"/>
        </w:rPr>
        <w:t xml:space="preserve"> ‘Beware, Your Favourite App Can Be a Virus’, </w:t>
      </w:r>
      <w:hyperlink r:id="rId21" w:history="1">
        <w:r w:rsidRPr="007B34A1">
          <w:rPr>
            <w:rStyle w:val="Hyperlink"/>
            <w:rFonts w:ascii="Arial" w:hAnsi="Arial" w:cs="Arial"/>
          </w:rPr>
          <w:t>http://news.mindprocessors.com/technology-news/beware-your-favourite-app-can-be-a-virus/</w:t>
        </w:r>
      </w:hyperlink>
      <w:r w:rsidRPr="007B34A1">
        <w:rPr>
          <w:rFonts w:ascii="Arial" w:hAnsi="Arial" w:cs="Arial"/>
        </w:rPr>
        <w:t xml:space="preserve">. </w:t>
      </w:r>
    </w:p>
  </w:footnote>
  <w:footnote w:id="31">
    <w:p w:rsidR="00B041E7" w:rsidRPr="007B34A1" w:rsidRDefault="00B041E7" w:rsidP="00CA4E97">
      <w:pPr>
        <w:pStyle w:val="FootnoteText"/>
        <w:rPr>
          <w:rFonts w:ascii="Arial" w:hAnsi="Arial" w:cs="Arial"/>
        </w:rPr>
      </w:pPr>
      <w:r w:rsidRPr="007B34A1">
        <w:rPr>
          <w:rStyle w:val="FootnoteReference"/>
          <w:rFonts w:cs="Arial"/>
        </w:rPr>
        <w:footnoteRef/>
      </w:r>
      <w:r w:rsidRPr="007B34A1">
        <w:rPr>
          <w:rFonts w:ascii="Arial" w:hAnsi="Arial" w:cs="Arial"/>
        </w:rPr>
        <w:t xml:space="preserve"> ACMA, </w:t>
      </w:r>
      <w:r w:rsidRPr="007B34A1">
        <w:rPr>
          <w:rFonts w:ascii="Arial" w:hAnsi="Arial" w:cs="Arial"/>
          <w:i/>
        </w:rPr>
        <w:t>Digital footprints and digital identities—Community research</w:t>
      </w:r>
      <w:r w:rsidRPr="007B34A1">
        <w:rPr>
          <w:rFonts w:ascii="Arial" w:hAnsi="Arial" w:cs="Arial"/>
        </w:rPr>
        <w:t>, 2013 (unpublished).</w:t>
      </w:r>
    </w:p>
  </w:footnote>
  <w:footnote w:id="32">
    <w:p w:rsidR="00B041E7" w:rsidRPr="007B34A1" w:rsidRDefault="00B041E7" w:rsidP="00063FE2">
      <w:pPr>
        <w:pStyle w:val="FootnoteText"/>
        <w:rPr>
          <w:rFonts w:ascii="Arial" w:hAnsi="Arial" w:cs="Arial"/>
        </w:rPr>
      </w:pPr>
      <w:r w:rsidRPr="007B34A1">
        <w:rPr>
          <w:rStyle w:val="FootnoteReference"/>
          <w:rFonts w:cs="Arial"/>
        </w:rPr>
        <w:footnoteRef/>
      </w:r>
      <w:r w:rsidRPr="007B34A1">
        <w:rPr>
          <w:rFonts w:ascii="Arial" w:hAnsi="Arial" w:cs="Arial"/>
        </w:rPr>
        <w:t xml:space="preserve"> ACMA, </w:t>
      </w:r>
      <w:hyperlink r:id="rId22" w:history="1">
        <w:r w:rsidRPr="007B34A1">
          <w:rPr>
            <w:rStyle w:val="Hyperlink"/>
            <w:rFonts w:ascii="Arial" w:hAnsi="Arial" w:cs="Arial"/>
            <w:i/>
          </w:rPr>
          <w:t>Location services, personal information and identity—Exploratory community research</w:t>
        </w:r>
      </w:hyperlink>
      <w:r w:rsidRPr="007B34A1">
        <w:rPr>
          <w:rFonts w:ascii="Arial" w:hAnsi="Arial" w:cs="Arial"/>
        </w:rPr>
        <w:t xml:space="preserve">, </w:t>
      </w:r>
      <w:r w:rsidRPr="007B34A1">
        <w:rPr>
          <w:rFonts w:ascii="Arial" w:hAnsi="Arial" w:cs="Arial"/>
        </w:rPr>
        <w:br/>
        <w:t xml:space="preserve">pp. 34–35; 54–55. </w:t>
      </w:r>
    </w:p>
  </w:footnote>
  <w:footnote w:id="33">
    <w:p w:rsidR="00B041E7" w:rsidRPr="00A66500" w:rsidRDefault="00B041E7">
      <w:pPr>
        <w:pStyle w:val="FootnoteText"/>
        <w:rPr>
          <w:rFonts w:ascii="Arial" w:hAnsi="Arial" w:cs="Arial"/>
        </w:rPr>
      </w:pPr>
      <w:r w:rsidRPr="00A66500">
        <w:rPr>
          <w:rStyle w:val="FootnoteReference"/>
          <w:rFonts w:cs="Arial"/>
        </w:rPr>
        <w:footnoteRef/>
      </w:r>
      <w:r w:rsidRPr="00A66500">
        <w:rPr>
          <w:rFonts w:ascii="Arial" w:hAnsi="Arial" w:cs="Arial"/>
        </w:rPr>
        <w:t xml:space="preserve"> Further information about matters covered by the Privacy Act is available at </w:t>
      </w:r>
      <w:hyperlink r:id="rId23" w:history="1">
        <w:r w:rsidRPr="00A66500">
          <w:rPr>
            <w:rStyle w:val="Hyperlink"/>
            <w:rFonts w:ascii="Arial" w:hAnsi="Arial" w:cs="Arial"/>
          </w:rPr>
          <w:t>www.oaic.gov.au/privacy/privacy-act/the-privacy-act</w:t>
        </w:r>
      </w:hyperlink>
      <w:r w:rsidRPr="00A66500">
        <w:rPr>
          <w:rFonts w:ascii="Arial" w:hAnsi="Arial" w:cs="Arial"/>
        </w:rPr>
        <w:t xml:space="preserve">. </w:t>
      </w:r>
    </w:p>
  </w:footnote>
  <w:footnote w:id="34">
    <w:p w:rsidR="00B041E7" w:rsidRPr="007B34A1" w:rsidRDefault="00B041E7" w:rsidP="0065418E">
      <w:pPr>
        <w:pStyle w:val="FootnoteText"/>
        <w:rPr>
          <w:rFonts w:ascii="Arial" w:hAnsi="Arial" w:cs="Arial"/>
          <w:sz w:val="18"/>
          <w:szCs w:val="18"/>
        </w:rPr>
      </w:pPr>
      <w:r w:rsidRPr="007B34A1">
        <w:rPr>
          <w:rStyle w:val="FootnoteReference"/>
          <w:rFonts w:cs="Arial"/>
          <w:sz w:val="18"/>
          <w:szCs w:val="18"/>
        </w:rPr>
        <w:footnoteRef/>
      </w:r>
      <w:r w:rsidRPr="007B34A1">
        <w:rPr>
          <w:rFonts w:ascii="Arial" w:hAnsi="Arial" w:cs="Arial"/>
          <w:sz w:val="18"/>
          <w:szCs w:val="18"/>
        </w:rPr>
        <w:t xml:space="preserve"> </w:t>
      </w:r>
      <w:r w:rsidRPr="007B34A1">
        <w:rPr>
          <w:rFonts w:ascii="Arial" w:hAnsi="Arial" w:cs="Arial"/>
        </w:rPr>
        <w:t xml:space="preserve">OECD, </w:t>
      </w:r>
      <w:r w:rsidRPr="007B34A1">
        <w:rPr>
          <w:rFonts w:ascii="Arial" w:hAnsi="Arial" w:cs="Arial"/>
          <w:i/>
        </w:rPr>
        <w:t>Implementation of the 2007 Recommendation on Privacy Law Enforcement Co-operation</w:t>
      </w:r>
      <w:r w:rsidRPr="007B34A1">
        <w:rPr>
          <w:rFonts w:ascii="Arial" w:hAnsi="Arial" w:cs="Arial"/>
        </w:rPr>
        <w:t xml:space="preserve">, 2010, as reprinted in </w:t>
      </w:r>
      <w:r w:rsidRPr="007B34A1">
        <w:rPr>
          <w:rFonts w:ascii="Arial" w:hAnsi="Arial" w:cs="Arial"/>
          <w:i/>
        </w:rPr>
        <w:t>Thirty Years After the OECD Privacy Guidelines</w:t>
      </w:r>
      <w:r w:rsidRPr="007B34A1">
        <w:rPr>
          <w:rFonts w:ascii="Arial" w:hAnsi="Arial" w:cs="Arial"/>
        </w:rPr>
        <w:t>, 2011, p. 76.</w:t>
      </w:r>
    </w:p>
  </w:footnote>
  <w:footnote w:id="35">
    <w:p w:rsidR="00B041E7" w:rsidRPr="007B34A1" w:rsidRDefault="00B041E7" w:rsidP="0065418E">
      <w:pPr>
        <w:pStyle w:val="FootnoteText"/>
        <w:rPr>
          <w:rFonts w:ascii="Arial" w:hAnsi="Arial" w:cs="Arial"/>
          <w:sz w:val="18"/>
          <w:szCs w:val="18"/>
        </w:rPr>
      </w:pPr>
      <w:r w:rsidRPr="007B34A1">
        <w:rPr>
          <w:rStyle w:val="FootnoteReference"/>
          <w:rFonts w:cs="Arial"/>
          <w:sz w:val="18"/>
          <w:szCs w:val="18"/>
        </w:rPr>
        <w:footnoteRef/>
      </w:r>
      <w:r w:rsidRPr="007B34A1">
        <w:rPr>
          <w:rFonts w:ascii="Arial" w:hAnsi="Arial" w:cs="Arial"/>
          <w:sz w:val="18"/>
          <w:szCs w:val="18"/>
        </w:rPr>
        <w:t xml:space="preserve"> </w:t>
      </w:r>
      <w:r w:rsidRPr="007B34A1">
        <w:rPr>
          <w:rFonts w:ascii="Arial" w:hAnsi="Arial" w:cs="Arial"/>
        </w:rPr>
        <w:t xml:space="preserve">OECD, </w:t>
      </w:r>
      <w:hyperlink r:id="rId24" w:history="1">
        <w:r w:rsidRPr="007B34A1">
          <w:rPr>
            <w:rStyle w:val="Hyperlink"/>
            <w:rFonts w:ascii="Arial" w:hAnsi="Arial" w:cs="Arial"/>
          </w:rPr>
          <w:t>The Review of the OECD Privacy Guidelines</w:t>
        </w:r>
      </w:hyperlink>
      <w:r w:rsidRPr="007B34A1">
        <w:rPr>
          <w:rFonts w:ascii="Arial" w:hAnsi="Arial" w:cs="Arial"/>
        </w:rPr>
        <w:t>.</w:t>
      </w:r>
    </w:p>
  </w:footnote>
  <w:footnote w:id="36">
    <w:p w:rsidR="00B041E7" w:rsidRPr="007B34A1" w:rsidRDefault="00B041E7">
      <w:pPr>
        <w:pStyle w:val="FootnoteText"/>
        <w:rPr>
          <w:rFonts w:ascii="Arial" w:hAnsi="Arial" w:cs="Arial"/>
        </w:rPr>
      </w:pPr>
      <w:r w:rsidRPr="007B34A1">
        <w:rPr>
          <w:rStyle w:val="FootnoteReference"/>
          <w:rFonts w:cs="Arial"/>
        </w:rPr>
        <w:footnoteRef/>
      </w:r>
      <w:r w:rsidRPr="007B34A1">
        <w:rPr>
          <w:rFonts w:ascii="Arial" w:hAnsi="Arial" w:cs="Arial"/>
        </w:rPr>
        <w:t xml:space="preserve"> See </w:t>
      </w:r>
      <w:hyperlink r:id="rId25" w:history="1">
        <w:r w:rsidRPr="007B34A1">
          <w:rPr>
            <w:rStyle w:val="Hyperlink"/>
            <w:rFonts w:ascii="Arial" w:hAnsi="Arial" w:cs="Arial"/>
          </w:rPr>
          <w:t>http://iabaustralia.com.au/sitecore/shell/Controls/Rich%20Text%20Editor//-/media/IAB/Resources/Presentations%20and%20Guidelines/Social%20Advertising%20Paid%20Guidelines%20April%202013.pdf</w:t>
        </w:r>
      </w:hyperlink>
    </w:p>
  </w:footnote>
  <w:footnote w:id="37">
    <w:p w:rsidR="00B041E7" w:rsidRPr="007B34A1" w:rsidRDefault="00B041E7" w:rsidP="00B12D7D">
      <w:pPr>
        <w:pStyle w:val="FootnoteText"/>
        <w:rPr>
          <w:rFonts w:ascii="Arial" w:hAnsi="Arial" w:cs="Arial"/>
        </w:rPr>
      </w:pPr>
      <w:r w:rsidRPr="007B34A1">
        <w:rPr>
          <w:rStyle w:val="FootnoteReference"/>
          <w:rFonts w:cs="Arial"/>
        </w:rPr>
        <w:footnoteRef/>
      </w:r>
      <w:r w:rsidRPr="007B34A1">
        <w:rPr>
          <w:rFonts w:ascii="Arial" w:hAnsi="Arial" w:cs="Arial"/>
        </w:rPr>
        <w:t xml:space="preserve"> The Canadian Information and Privacy Commissioner developed the concept of Privacy by Design that promotes the view that compliance is not sufficient to ensure privacy by that instead privacy should be ‘ … an organisation’s default mode of operation.’ Refer </w:t>
      </w:r>
      <w:hyperlink r:id="rId26" w:history="1">
        <w:r w:rsidRPr="007B34A1">
          <w:rPr>
            <w:rStyle w:val="Hyperlink"/>
            <w:rFonts w:ascii="Arial" w:hAnsi="Arial" w:cs="Arial"/>
          </w:rPr>
          <w:t>Privacy by Design</w:t>
        </w:r>
      </w:hyperlink>
      <w:r w:rsidRPr="007B34A1">
        <w:rPr>
          <w:rFonts w:ascii="Arial" w:hAnsi="Arial" w:cs="Arial"/>
        </w:rPr>
        <w:t xml:space="preserve"> websites, accessed 21 May 2013.</w:t>
      </w:r>
    </w:p>
  </w:footnote>
  <w:footnote w:id="38">
    <w:p w:rsidR="00B041E7" w:rsidRPr="007B34A1" w:rsidRDefault="00B041E7" w:rsidP="00B12D7D">
      <w:pPr>
        <w:pStyle w:val="FootnoteText"/>
        <w:rPr>
          <w:rFonts w:ascii="Arial" w:hAnsi="Arial" w:cs="Arial"/>
        </w:rPr>
      </w:pPr>
      <w:r w:rsidRPr="007B34A1">
        <w:rPr>
          <w:rStyle w:val="FootnoteReference"/>
          <w:rFonts w:cs="Arial"/>
        </w:rPr>
        <w:footnoteRef/>
      </w:r>
      <w:r w:rsidRPr="007B34A1">
        <w:rPr>
          <w:rFonts w:ascii="Arial" w:hAnsi="Arial" w:cs="Arial"/>
        </w:rPr>
        <w:t xml:space="preserve"> </w:t>
      </w:r>
      <w:hyperlink r:id="rId27" w:history="1">
        <w:r w:rsidRPr="007B34A1">
          <w:rPr>
            <w:rStyle w:val="Hyperlink"/>
            <w:rFonts w:ascii="Arial" w:hAnsi="Arial" w:cs="Arial"/>
            <w:i/>
          </w:rPr>
          <w:t>Privacy by Design and the Emerging Personal Data Ecosystem</w:t>
        </w:r>
      </w:hyperlink>
      <w:r w:rsidRPr="007B34A1">
        <w:rPr>
          <w:rFonts w:ascii="Arial" w:hAnsi="Arial" w:cs="Arial"/>
        </w:rPr>
        <w:t>, October 2012, case study of Personal.com, pp. 23–29.</w:t>
      </w:r>
    </w:p>
  </w:footnote>
  <w:footnote w:id="39">
    <w:p w:rsidR="00B041E7" w:rsidRPr="007B34A1" w:rsidRDefault="00B041E7" w:rsidP="00675636">
      <w:pPr>
        <w:pStyle w:val="FootnoteText"/>
        <w:rPr>
          <w:rFonts w:ascii="Arial" w:hAnsi="Arial" w:cs="Arial"/>
        </w:rPr>
      </w:pPr>
      <w:r w:rsidRPr="007B34A1">
        <w:rPr>
          <w:rStyle w:val="FootnoteReference"/>
          <w:rFonts w:cs="Arial"/>
        </w:rPr>
        <w:footnoteRef/>
      </w:r>
      <w:r w:rsidRPr="007B34A1">
        <w:rPr>
          <w:rFonts w:ascii="Arial" w:hAnsi="Arial" w:cs="Arial"/>
        </w:rPr>
        <w:t xml:space="preserve"> ‘FTC Seeks Input on Privacy and Security Implications of the Internet of Things’, media release, 17 April 2013, </w:t>
      </w:r>
      <w:hyperlink r:id="rId28" w:history="1">
        <w:r w:rsidRPr="007B34A1">
          <w:rPr>
            <w:rStyle w:val="Hyperlink"/>
            <w:rFonts w:ascii="Arial" w:hAnsi="Arial" w:cs="Arial"/>
          </w:rPr>
          <w:t>www.ftc.gov/opa/2013/04/internetthings.shtm</w:t>
        </w:r>
      </w:hyperlink>
      <w:r w:rsidRPr="007B34A1">
        <w:rPr>
          <w:rFonts w:ascii="Arial" w:hAnsi="Arial" w:cs="Arial"/>
          <w:sz w:val="20"/>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Header"/>
    </w:pPr>
    <w:r>
      <w:rPr>
        <w:noProof/>
      </w:rPr>
      <w:pict>
        <v:shape id="acma" o:spid="_x0000_s2063" style="position:absolute;margin-left:456.4pt;margin-top:45.55pt;width:86pt;height:26.8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4160,1294" path="m120,hdc205,,205,,205,,324,320,324,320,324,320v-87,,-87,,-87,c218,262,218,262,218,262v-112,,-112,,-112,c86,320,86,320,86,320,,320,,320,,320hal120,hdxm125,201v73,,73,,73,c163,89,163,89,163,89v-1,,-1,,-1,hal125,201hdxm555,320v-74,,-74,,-74,c481,288,481,288,481,288v-1,,-1,,-1,c473,300,462,309,449,316v-13,7,-27,10,-40,10c392,326,378,324,367,319v-11,-4,-20,-11,-26,-19c334,291,330,280,327,268v-3,-12,-4,-26,-4,-41c323,87,323,87,323,87v76,,76,,76,c399,222,399,222,399,222v,16,3,26,10,32c415,261,424,264,437,264v4,,8,-1,13,-3c455,260,459,257,464,253v4,-4,7,-9,10,-16c477,231,478,222,478,212v,-125,,-125,,-125c555,87,555,87,555,87hal555,320hdxm643,243v,6,1,11,3,15c648,262,651,266,655,269v4,3,8,5,13,6c673,276,678,277,684,277v3,,7,,11,-1c699,275,703,273,707,272v3,-2,6,-5,9,-8c718,261,719,257,719,252v,-4,-1,-8,-4,-11c713,239,710,236,706,235v-4,-2,-8,-4,-12,-4c689,230,686,229,682,228v-12,-3,-24,-6,-37,-8c633,217,621,214,610,209v-10,-5,-19,-12,-26,-21c578,180,574,168,574,152v,-14,4,-26,10,-35c591,108,600,101,610,95v11,-5,22,-9,35,-11c657,82,669,80,680,80v13,,26,2,38,4c731,86,742,90,752,95v10,6,19,14,25,23c783,128,787,140,788,156v-71,,-71,,-71,c717,146,714,140,707,136v-6,-4,-14,-6,-24,-6c680,130,676,130,673,130v-4,,-8,1,-11,2c659,134,656,135,654,138v-2,2,-4,5,-4,9c650,153,653,157,659,161v6,3,13,6,21,8c689,172,698,174,708,175v10,2,20,4,28,6c748,183,758,187,765,192v8,5,14,11,19,17c788,215,791,221,793,227v2,6,3,12,3,17c796,259,792,272,786,283v-7,10,-16,19,-26,25c749,315,737,319,724,322v-14,3,-27,4,-40,4c670,326,657,325,643,323v-13,-3,-25,-7,-36,-14c597,303,588,294,581,283v-6,-10,-10,-24,-11,-40hal643,243hdxm951,136v-47,,-47,,-47,c904,242,904,242,904,242v,9,2,15,7,18c916,263,923,265,931,265v3,,6,-1,10,-1c944,264,947,264,951,264v,56,,56,,56c944,320,937,320,930,321v-7,1,-14,1,-21,1c893,322,879,321,869,318v-11,-3,-19,-7,-25,-14c838,298,833,290,831,279v-2,-10,-4,-23,-4,-39c827,136,827,136,827,136v-38,,-38,,-38,c789,87,789,87,789,87v38,,38,,38,c827,17,827,17,827,17v77,,77,,77,c904,87,904,87,904,87v47,,47,,47,hal951,136hdxm965,87v74,,74,,74,c1039,128,1039,128,1039,128v1,,1,,1,c1046,113,1055,102,1067,94v12,-8,27,-11,43,-11c1113,83,1116,83,1119,83v3,,6,1,9,1c1128,154,1128,154,1128,154v-5,-2,-10,-3,-15,-3c1109,150,1104,149,1099,149v-10,,-18,2,-25,5c1067,157,1061,161,1056,166v-5,5,-8,11,-11,18c1043,190,1042,197,1042,205v,115,,115,,115c965,320,965,320,965,320hal965,87hdxm1128,159v1,-15,5,-28,11,-38c1146,111,1154,103,1165,97v10,-6,22,-11,34,-13c1212,82,1225,80,1239,80v13,,27,1,40,3c1292,85,1303,89,1313,95v11,5,19,13,25,24c1344,129,1347,142,1347,158v,102,,102,,102c1347,270,1347,280,1348,290v1,11,4,20,8,30c1279,320,1279,320,1279,320v-1,-4,-2,-7,-3,-11c1276,305,1276,302,1275,298v-10,10,-22,18,-35,22c1226,324,1212,326,1198,326v-11,,-21,-1,-31,-4c1157,319,1149,315,1142,309v-7,-6,-13,-13,-17,-22c1121,278,1119,268,1119,256v,-12,2,-23,6,-31c1129,216,1135,209,1142,204v7,-5,16,-9,25,-12c1176,189,1186,186,1196,184v10,-1,20,-3,30,-4c1236,179,1245,177,1254,175v7,-1,12,-3,15,-6c1273,166,1274,161,1274,154v,-5,-1,-8,-3,-11c1269,140,1266,137,1262,135v-4,-2,-8,-3,-12,-4c1246,130,1242,130,1238,130v-22,,-35,9,-38,29hal1128,159hdxm1195,253v,9,3,16,10,20c1211,277,1218,279,1227,279v18,,31,-5,38,-16c1271,252,1274,235,1274,211v-6,3,-13,5,-22,7c1243,219,1235,221,1227,223v-9,2,-17,6,-23,10c1198,237,1195,244,1195,253xm1378,v76,,76,,76,c1454,320,1454,320,1454,320v-76,,-76,,-76,hal1378,hdxm1565,58v-76,,-76,,-76,c1489,,1489,,1489,v76,,76,,76,hal1565,58hdxm1489,87v76,,76,,76,c1565,320,1565,320,1565,320v-76,,-76,,-76,hal1489,87hdxm1593,159v1,-15,5,-28,11,-38c1611,111,1619,103,1630,97v10,-6,22,-11,34,-13c1677,82,1690,80,1704,80v13,,27,1,40,3c1757,85,1768,89,1778,95v11,5,19,13,25,24c1809,129,1812,142,1812,158v,102,,102,,102c1812,270,1812,280,1813,290v1,11,4,20,8,30c1744,320,1744,320,1744,320v-1,-4,-2,-7,-3,-11c1741,305,1741,302,1740,298v-10,10,-22,18,-35,22c1691,324,1677,326,1663,326v-11,,-21,-1,-31,-4c1622,319,1614,315,1607,309v-7,-6,-13,-13,-17,-22c1586,278,1584,268,1584,256v,-12,2,-23,6,-31c1594,216,1600,209,1607,204v7,-5,16,-9,25,-12c1641,189,1651,186,1661,184v10,-1,20,-3,30,-4c1701,179,1710,177,1719,175v7,-1,12,-3,15,-6c1738,166,1739,161,1739,154v,-5,-1,-8,-3,-11c1734,140,1731,137,1727,135v-4,-2,-8,-3,-12,-4c1711,130,1707,130,1703,130v-22,,-35,9,-38,29hal1593,159hdxm1660,253v,9,3,16,10,20c1676,277,1683,279,1692,279v18,,31,-5,38,-16c1736,252,1739,235,1739,211v-6,3,-13,5,-22,7c1708,219,1700,221,1692,223v-9,2,-17,6,-23,10c1663,237,1660,244,1660,253xm1840,87v74,,74,,74,c1914,119,1914,119,1914,119v1,,1,,1,c1919,113,1923,108,1929,103v5,-5,11,-9,17,-12c1953,87,1960,85,1967,83v7,-2,14,-3,21,-3c2008,80,2023,84,2034,90v11,6,20,14,25,23c2065,122,2068,132,2070,142v1,11,2,20,2,28c2072,320,2072,320,2072,320v-76,,-76,,-76,c1996,207,1996,207,1996,207v,-8,,-16,,-23c1996,176,1995,169,1992,163v-2,-6,-6,-11,-11,-14c1976,145,1968,143,1958,143v-8,,-14,2,-19,4c1934,150,1930,154,1926,159v-3,4,-5,10,-7,16c1917,180,1916,187,1916,193v,127,,127,,127c1840,320,1840,320,1840,320hal1840,87hdxm245,562v-2,-16,-9,-28,-20,-37c213,517,199,513,181,513v-14,,-25,2,-34,8c137,526,130,533,124,542v-6,9,-11,19,-13,31c108,584,107,596,107,608v,12,1,23,4,35c113,654,118,664,124,673v6,9,13,16,23,22c156,700,167,703,181,703v20,,35,-5,46,-16c238,677,244,662,245,644v84,,84,,84,c328,664,323,683,315,699v-7,16,-18,30,-31,41c272,751,256,760,239,766v-17,6,-36,8,-56,8c159,774,137,770,117,761,97,753,80,741,66,726,53,711,42,693,34,673,27,653,23,631,23,608v,-24,4,-45,11,-65c42,522,53,505,66,490v14,-15,31,-27,51,-36c137,445,159,441,183,441v17,,34,3,51,8c252,455,267,462,281,473v14,10,25,23,34,38c323,526,328,543,329,562hal245,562hdxm337,652v,-18,3,-34,9,-49c352,588,360,575,371,564v11,-11,24,-20,39,-26c425,532,441,528,459,528v18,,35,4,50,10c524,544,537,553,548,564v10,11,19,24,25,39c579,618,582,634,582,652v,17,-3,34,-9,49c567,715,558,728,548,739v-11,11,-24,20,-39,26c494,771,477,774,459,774v-18,,-34,-3,-49,-9c395,759,382,750,371,739,360,728,352,715,346,701v-6,-15,-9,-32,-9,-49xm413,652v,7,1,15,2,22c417,682,419,689,423,695v3,6,8,11,14,15c443,714,450,716,459,716v9,,17,-2,23,-6c487,706,492,701,496,695v3,-6,6,-13,7,-21c505,667,506,659,506,652v,-8,-1,-15,-3,-23c502,621,499,614,496,608v-4,-6,-9,-11,-14,-15c476,589,468,587,459,587v-9,,-16,2,-22,6c431,597,426,602,423,608v-4,6,-6,13,-8,21c414,637,413,644,413,652xm600,535v74,,74,,74,c674,567,674,567,674,567v1,,1,,1,c682,555,691,546,702,539v12,-7,25,-11,39,-11c756,528,769,531,781,537v13,5,22,15,28,29c818,554,829,544,840,538v12,-6,26,-10,42,-10c900,528,915,532,926,538v11,6,19,14,24,24c956,572,959,583,961,595v2,11,3,23,3,34c964,768,964,768,964,768v-77,,-77,,-77,c887,631,887,631,887,631v,-13,-2,-22,-8,-29c873,595,865,591,856,591v-8,,-15,2,-20,5c832,599,828,603,825,608v-2,6,-4,13,-4,20c820,636,820,645,820,654v,114,,114,,114c744,768,744,768,744,768v,-132,,-132,,-132c744,622,741,611,737,603v-4,-8,-12,-12,-22,-12c701,591,691,596,685,605v-6,9,-9,26,-9,49c676,768,676,768,676,768v-76,,-76,,-76,hal600,535hdxm992,535v74,,74,,74,c1066,567,1066,567,1066,567v1,,1,,1,c1074,555,1083,546,1095,539v11,-7,24,-11,39,-11c1148,528,1162,531,1174,537v12,5,21,15,27,29c1211,554,1221,544,1233,538v11,-6,25,-10,41,-10c1293,528,1307,532,1318,538v11,6,19,14,25,24c1348,572,1352,583,1354,595v1,11,2,23,2,34c1356,768,1356,768,1356,768v-76,,-76,,-76,c1280,631,1280,631,1280,631v,-13,-3,-22,-9,-29c1266,595,1258,591,1248,591v-8,,-14,2,-19,5c1224,599,1220,603,1218,608v-3,6,-4,13,-5,20c1213,636,1212,645,1212,654v,114,,114,,114c1136,768,1136,768,1136,768v,-132,,-132,,-132c1136,622,1134,611,1130,603v-5,-8,-12,-12,-23,-12c1094,591,1084,596,1078,605v-7,9,-10,26,-10,49c1068,768,1068,768,1068,768v-76,,-76,,-76,hal992,535hdxm1616,768v-74,,-74,,-74,c1542,736,1542,736,1542,736v-1,,-1,,-1,c1534,748,1524,757,1510,764v-13,7,-26,10,-40,10c1454,774,1440,772,1429,767v-11,-4,-20,-11,-27,-19c1396,739,1391,728,1388,716v-2,-12,-4,-26,-4,-41c1384,535,1384,535,1384,535v76,,76,,76,c1460,670,1460,670,1460,670v,16,4,26,10,33c1476,709,1486,712,1498,712v4,,9,-1,13,-3c1516,708,1521,705,1525,701v4,-4,8,-9,10,-16c1538,679,1540,670,1540,660v,-125,,-125,,-125c1616,535,1616,535,1616,535hal1616,768hdxm1645,535v74,,74,,74,c1719,567,1719,567,1719,567v1,,1,,1,c1723,561,1728,556,1733,551v6,-5,12,-9,18,-12c1758,535,1765,533,1772,531v7,-2,14,-3,21,-3c1812,528,1828,532,1839,538v11,6,19,14,25,23c1869,570,1873,580,1874,590v2,11,3,20,3,28c1877,768,1877,768,1877,768v-77,,-77,,-77,c1800,655,1800,655,1800,655v,-8,,-16,,-23c1800,624,1799,617,1797,611v-2,-6,-6,-11,-11,-14c1781,593,1773,591,1762,591v-7,,-13,2,-18,4c1738,598,1734,602,1731,607v-3,4,-6,10,-7,16c1722,628,1721,635,1721,641v,127,,127,,127c1645,768,1645,768,1645,768hal1645,535hdxm1984,506v-76,,-76,,-76,c1908,448,1908,448,1908,448v76,,76,,76,hal1984,506hdxm1908,535v76,,76,,76,c1984,768,1984,768,1984,768v-76,,-76,,-76,hal1908,535hdxm2167,620v,-4,-1,-9,-3,-13c2162,603,2159,599,2156,596v-3,-3,-7,-5,-12,-7c2140,588,2135,587,2130,587v-11,,-19,2,-26,6c2098,597,2093,602,2090,609v-4,6,-6,14,-7,22c2081,639,2081,647,2081,655v,8,1,15,2,22c2085,685,2088,691,2091,697v4,6,9,10,14,14c2111,714,2118,716,2126,716v14,,24,-3,31,-10c2163,699,2168,689,2170,676v74,,74,,74,c2242,692,2238,706,2231,718v-7,12,-15,23,-25,31c2195,757,2183,764,2170,768v-13,4,-28,6,-43,6c2109,774,2093,772,2078,766v-15,-6,-28,-14,-39,-24c2028,731,2020,719,2014,704v-6,-15,-9,-31,-9,-49c2005,637,2008,620,2013,604v6,-15,14,-29,25,-40c2048,553,2061,544,2076,538v15,-6,32,-10,51,-10c2141,528,2155,530,2168,534v13,4,25,10,36,18c2214,559,2223,569,2229,580v7,12,11,25,12,40hal2167,620hdxm2257,607v,-15,4,-28,10,-38c2274,559,2282,551,2293,545v10,-6,22,-11,35,-13c2340,530,2353,528,2367,528v13,,27,1,40,3c2420,533,2431,537,2442,543v10,5,18,13,24,24c2472,577,2475,590,2475,606v,102,,102,,102c2475,718,2476,728,2476,738v1,11,4,20,8,30c2408,768,2408,768,2408,768v-2,-4,-3,-7,-3,-11c2404,753,2404,750,2403,746v-10,10,-22,18,-35,22c2354,772,2340,774,2326,774v-11,,-21,-1,-31,-4c2286,767,2277,763,2270,757v-7,-6,-13,-13,-17,-22c2249,726,2247,716,2247,704v,-12,2,-23,6,-31c2258,664,2263,657,2270,652v8,-5,16,-9,25,-12c2304,637,2314,634,2324,632v10,-1,20,-3,30,-4c2364,627,2373,625,2382,623v7,-1,12,-3,15,-6c2401,614,2403,609,2403,602v,-5,-2,-8,-4,-11c2397,588,2394,585,2390,583v-4,-2,-7,-3,-12,-4c2374,578,2370,578,2366,578v-22,,-35,9,-38,29hal2257,607hdxm2323,701v,10,3,16,10,20c2339,725,2346,727,2355,727v18,,31,-5,38,-16c2400,701,2403,683,2402,659v-6,3,-13,5,-22,7c2372,667,2363,669,2355,671v-9,2,-16,6,-23,10c2326,685,2323,692,2323,701xm2644,584v-47,,-47,,-47,c2597,690,2597,690,2597,690v,9,2,16,7,18c2609,711,2616,713,2624,713v3,,6,-1,10,-1c2637,712,2640,712,2644,712v,56,,56,,56c2637,768,2630,768,2623,769v-7,1,-14,1,-21,1c2586,770,2572,769,2562,766v-11,-3,-19,-7,-25,-14c2531,746,2526,738,2524,727v-2,-10,-4,-23,-4,-39c2520,584,2520,584,2520,584v-38,,-38,,-38,c2482,535,2482,535,2482,535v38,,38,,38,c2520,465,2520,465,2520,465v77,,77,,77,c2597,535,2597,535,2597,535v47,,47,,47,hal2644,584hdxm2735,506v-77,,-77,,-77,c2658,448,2658,448,2658,448v77,,77,,77,hal2735,506hdxm2658,535v77,,77,,77,c2735,768,2735,768,2735,768v-77,,-77,,-77,hal2658,535hdxm2755,652v,-18,3,-34,9,-49c2770,588,2778,575,2789,564v11,-11,24,-20,39,-26c2843,532,2860,528,2877,528v18,,35,4,50,10c2942,544,2955,553,2966,564v11,11,19,24,25,39c2997,618,3000,634,3000,652v,17,-3,34,-9,49c2985,715,2977,728,2966,739v-11,11,-24,20,-39,26c2912,771,2895,774,2877,774v-17,,-34,-3,-49,-9c2813,759,2800,750,2789,739v-11,-11,-19,-24,-25,-38c2758,686,2755,669,2755,652xm2831,652v,7,1,15,3,22c2835,682,2838,689,2841,695v4,6,8,11,14,15c2861,714,2868,716,2877,716v9,,17,-2,23,-6c2906,706,2911,701,2914,695v4,-6,6,-13,8,-21c2923,667,2924,659,2924,652v,-8,-1,-15,-2,-23c2920,621,2918,614,2914,608v-3,-6,-8,-11,-14,-15c2894,589,2886,587,2877,587v-9,,-16,2,-22,6c2849,597,2845,602,2841,608v-3,6,-6,13,-7,21c2832,637,2831,644,2831,652xm3018,535v74,,74,,74,c3092,567,3092,567,3092,567v1,,1,,1,c3097,561,3101,556,3106,551v6,-5,12,-9,18,-12c3131,535,3138,533,3145,531v7,-2,14,-3,21,-3c3185,528,3201,532,3212,538v11,6,19,14,25,23c3243,570,3246,580,3248,590v1,11,2,20,2,28c3250,768,3250,768,3250,768v-76,,-76,,-76,c3174,655,3174,655,3174,655v,-8,,-16,,-23c3174,624,3172,617,3170,611v-2,-6,-6,-11,-11,-14c3154,593,3146,591,3136,591v-8,,-14,2,-19,4c3112,598,3107,602,3104,607v-3,4,-6,10,-7,16c3095,628,3094,635,3094,641v,127,,127,,127c3018,768,3018,768,3018,768hal3018,535hdxm3338,691v,6,1,11,3,15c3343,711,3346,714,3350,717v4,3,8,5,13,6c3368,724,3373,725,3378,725v4,,8,,12,-1c3394,723,3398,721,3402,720v3,-2,6,-5,9,-8c3413,709,3414,705,3414,701v,-5,-1,-9,-4,-11c3407,687,3404,684,3400,683v-3,-2,-7,-4,-12,-4c3384,678,3380,677,3377,676v-12,-3,-24,-6,-37,-8c3327,665,3316,662,3305,657v-11,-5,-19,-12,-26,-21c3272,628,3269,616,3269,600v,-14,3,-26,10,-35c3286,556,3294,549,3305,543v10,-5,22,-9,34,-11c3352,530,3364,528,3375,528v13,,26,2,38,4c3425,534,3437,538,3447,543v10,6,18,14,25,23c3478,576,3482,588,3482,604v-70,,-70,,-70,c3412,594,3409,588,3402,584v-6,-4,-14,-6,-24,-6c3375,578,3371,578,3367,578v-3,,-7,1,-10,2c3353,582,3351,583,3348,586v-2,2,-3,5,-3,9c3345,601,3348,605,3354,609v5,3,12,6,21,8c3383,620,3393,622,3403,623v10,2,19,4,28,6c3443,631,3452,635,3460,640v8,5,14,11,18,17c3483,663,3486,669,3488,675v1,6,2,12,2,17c3490,707,3487,720,3480,731v-7,10,-15,19,-26,25c3444,763,3432,767,3418,770v-13,3,-26,4,-39,4c3365,774,3351,773,3338,771v-13,-3,-26,-7,-36,-14c3291,751,3283,742,3276,731v-7,-10,-10,-24,-11,-40hal3338,691hdxm27,1055v,-15,4,-28,11,-38c44,1007,53,999,63,993v11,-6,22,-11,35,-13c111,978,124,976,137,976v14,,27,1,40,3c190,981,202,985,212,991v10,5,18,13,24,24c242,1025,245,1038,245,1054v,102,,102,,102c245,1166,246,1176,247,1186v,11,3,20,7,30c178,1216,178,1216,178,1216v-2,-4,-3,-7,-3,-11c174,1201,174,1198,173,1194v-10,10,-21,18,-35,22c125,1220,111,1222,97,1222v-11,,-22,-1,-31,-4c56,1215,47,1211,40,1205v-7,-6,-13,-13,-17,-22c19,1174,17,1164,17,1152v,-12,2,-23,7,-31c28,1112,34,1105,41,1100v7,-5,15,-9,24,-12c75,1085,84,1082,94,1080v10,-1,20,-3,30,-4c134,1075,144,1073,153,1071v6,-1,11,-3,15,-6c171,1062,173,1057,173,1050v,-5,-1,-8,-4,-11c167,1036,164,1033,160,1031v-3,-2,-7,-3,-12,-4c144,1026,140,1026,136,1026v-22,,-34,9,-38,29hal27,1055hdxm94,1149v,10,3,16,9,20c109,1173,117,1175,125,1175v19,,31,-5,38,-16c170,1149,173,1131,172,1107v-5,3,-13,5,-21,7c142,1115,133,1117,125,1119v-9,2,-16,6,-22,10c97,1133,94,1140,94,1149xm274,983v74,,74,,74,c348,1015,348,1015,348,1015v,,,,,c352,1009,357,1004,362,999v5,-5,11,-9,18,-12c386,983,393,981,400,979v8,-2,15,-3,21,-3c441,976,456,980,467,986v12,6,20,14,25,23c498,1018,502,1028,503,1038v1,11,2,20,2,29c505,1216,505,1216,505,1216v-76,,-76,,-76,c429,1103,429,1103,429,1103v,-8,,-16,,-23c429,1072,428,1065,426,1059v-3,-6,-6,-10,-11,-14c409,1041,401,1039,391,1039v-7,,-13,2,-19,4c367,1046,363,1050,360,1055v-4,4,-6,10,-8,16c351,1077,350,1083,350,1089v,127,,127,,127c274,1216,274,1216,274,1216hal274,983hdxm764,1216v-72,,-72,,-72,c692,1189,692,1189,692,1189v-1,,-1,,-1,c676,1211,654,1222,627,1222v-19,,-34,-3,-47,-10c566,1205,556,1195,547,1183v-8,-12,-14,-26,-18,-41c525,1127,523,1111,523,1094v,-15,2,-30,6,-44c533,1036,539,1024,547,1013v8,-11,19,-20,31,-27c590,980,604,976,621,976v28,,50,11,66,32c688,1008,688,1008,688,1008v,-112,,-112,,-112c764,896,764,896,764,896hal764,1216hdxm645,1035v-8,,-15,2,-21,5c618,1044,613,1049,609,1055v-3,6,-6,12,-8,20c600,1082,599,1090,599,1097v,8,1,16,2,24c603,1129,606,1136,609,1142v4,7,9,12,15,16c630,1162,637,1164,645,1164v10,,17,-2,23,-6c674,1154,679,1149,682,1143v3,-7,6,-14,7,-21c690,1114,691,1107,691,1099v,-8,-1,-16,-3,-24c687,1067,684,1060,680,1054v-3,-6,-8,-10,-13,-14c661,1037,654,1035,645,1035xm917,896v123,,123,,123,c1095,1109,1095,1109,1095,1109v1,,1,,1,c1151,896,1151,896,1151,896v123,,123,,123,c1274,1216,1274,1216,1274,1216v-79,,-79,,-79,c1195,973,1195,973,1195,973v-1,,-1,,-1,c1127,1216,1127,1216,1127,1216v-64,,-64,,-64,c996,973,996,973,996,973v-1,,-1,,-1,c995,1216,995,1216,995,1216v-78,,-78,,-78,hal917,896hdxm1371,1118v1,16,6,29,15,39c1395,1166,1407,1171,1423,1171v9,,18,-2,26,-6c1457,1160,1463,1154,1467,1145v71,,71,,71,c1534,1159,1529,1170,1521,1180v-8,10,-17,18,-27,24c1484,1210,1473,1215,1460,1218v-12,3,-25,4,-38,4c1403,1222,1386,1220,1371,1214v-16,-5,-30,-13,-41,-24c1319,1179,1310,1166,1304,1151v-6,-15,-9,-33,-9,-52c1295,1081,1298,1064,1305,1049v6,-14,16,-27,27,-38c1344,1000,1357,992,1372,986v15,-6,31,-10,48,-10c1441,976,1460,980,1475,987v16,8,29,18,39,31c1524,1031,1531,1046,1536,1063v5,17,7,35,6,55hal1371,1118hdxm1466,1075v-1,-13,-5,-24,-14,-33c1444,1033,1433,1028,1420,1028v-13,,-24,4,-32,13c1379,1050,1374,1061,1371,1075hal1466,1075hdxm1788,1216v-73,,-73,,-73,c1715,1189,1715,1189,1715,1189v-1,,-1,,-1,c1699,1211,1678,1222,1650,1222v-18,,-34,-3,-47,-10c1590,1205,1579,1195,1571,1183v-8,-12,-15,-26,-19,-41c1548,1127,1546,1111,1546,1094v,-15,2,-30,6,-44c1556,1036,1563,1024,1571,1013v8,-11,18,-20,30,-27c1614,980,1628,976,1644,976v29,,51,11,67,32c1712,1008,1712,1008,1712,1008v,-112,,-112,,-112c1788,896,1788,896,1788,896hal1788,1216hdxm1669,1035v-9,,-16,2,-22,5c1641,1044,1636,1049,1633,1055v-4,6,-6,12,-8,20c1623,1082,1623,1090,1623,1097v,8,,16,2,24c1627,1129,1629,1136,1633,1142v3,7,8,12,14,16c1653,1162,1660,1164,1669,1164v9,,17,-2,23,-6c1698,1154,1702,1149,1706,1143v3,-7,5,-14,7,-21c1714,1114,1714,1107,1714,1099v,-8,,-16,-2,-24c1710,1067,1708,1060,1704,1054v-4,-6,-8,-10,-14,-14c1684,1037,1677,1035,1669,1035xm1897,954v-76,,-76,,-76,c1821,896,1821,896,1821,896v76,,76,,76,hal1897,954hdxm1821,983v76,,76,,76,c1897,1216,1897,1216,1897,1216v-76,,-76,,-76,hal1821,983hdxm1925,1055v1,-15,5,-28,11,-38c1943,1007,1951,999,1962,993v10,-6,22,-11,34,-13c2009,978,2022,976,2036,976v13,,27,1,40,3c2089,981,2100,985,2110,991v11,5,19,13,25,24c2141,1025,2144,1038,2144,1054v,102,,102,,102c2144,1166,2144,1176,2145,1186v1,11,4,20,8,30c2076,1216,2076,1216,2076,1216v-1,-4,-2,-7,-3,-11c2073,1201,2072,1198,2072,1194v-10,10,-22,18,-35,22c2023,1220,2009,1222,1995,1222v-11,,-21,-1,-31,-4c1954,1215,1946,1211,1939,1205v-7,-6,-13,-13,-17,-22c1918,1174,1916,1164,1916,1152v,-12,2,-23,6,-31c1926,1112,1932,1105,1939,1100v7,-5,16,-9,25,-12c1973,1085,1983,1082,1993,1080v10,-1,20,-3,30,-4c2033,1075,2042,1073,2051,1071v7,-1,12,-3,15,-6c2070,1062,2071,1057,2071,1050v,-5,-1,-8,-3,-11c2065,1036,2062,1033,2059,1031v-4,-2,-8,-3,-12,-4c2043,1026,2039,1026,2035,1026v-22,,-35,9,-38,29hal1925,1055hdxm1992,1149v,10,3,16,10,20c2008,1173,2015,1175,2024,1175v18,,31,-5,38,-16c2068,1149,2071,1131,2071,1107v-6,3,-13,5,-22,7c2040,1115,2032,1117,2023,1119v-8,2,-16,6,-22,10c1995,1133,1992,1140,1992,1149xm2381,896v85,,85,,85,c2586,1216,2586,1216,2586,1216v-87,,-87,,-87,c2479,1158,2479,1158,2479,1158v-111,,-111,,-111,c2347,1216,2347,1216,2347,1216v-85,,-85,,-85,hal2381,896hdxm2387,1097v72,,72,,72,c2424,985,2424,985,2424,985v-1,,-1,,-1,hal2387,1097hdxm2816,1216v-74,,-74,,-74,c2742,1184,2742,1184,2742,1184v-1,,-1,,-1,c2734,1196,2724,1205,2711,1212v-14,7,-27,10,-41,10c2654,1222,2640,1220,2629,1215v-11,-4,-20,-11,-27,-19c2596,1187,2591,1176,2588,1164v-2,-12,-4,-26,-4,-41c2584,983,2584,983,2584,983v77,,77,,77,c2661,1118,2661,1118,2661,1118v,16,3,26,9,33c2677,1157,2686,1160,2698,1160v4,,9,-1,14,-3c2716,1156,2721,1153,2725,1149v4,-4,8,-9,11,-16c2738,1127,2740,1118,2740,1108v,-125,,-125,,-125c2816,983,2816,983,2816,983hal2816,1216hdxm2985,1032v-47,,-47,,-47,c2938,1138,2938,1138,2938,1138v,9,3,16,8,18c2951,1159,2957,1161,2966,1161v3,,6,-1,10,-1c2979,1160,2982,1160,2985,1160v,56,,56,,56c2979,1216,2972,1216,2965,1217v-7,1,-14,1,-21,1c2928,1218,2914,1217,2904,1214v-11,-3,-19,-7,-25,-14c2872,1194,2868,1186,2866,1175v-3,-10,-4,-23,-4,-39c2862,1032,2862,1032,2862,1032v-38,,-38,,-38,c2824,983,2824,983,2824,983v38,,38,,38,c2862,913,2862,913,2862,913v76,,76,,76,c2938,983,2938,983,2938,983v47,,47,,47,hal2985,1032hdxm2998,896v76,,76,,76,c3074,1015,3074,1015,3074,1015v1,,1,,1,c3078,1009,3082,1004,3087,999v5,-5,10,-9,17,-12c3110,983,3117,981,3124,979v7,-2,14,-3,21,-3c3165,976,3180,980,3191,986v11,6,20,14,25,23c3222,1018,3225,1028,3227,1038v1,11,2,20,2,29c3229,1216,3229,1216,3229,1216v-76,,-76,,-76,c3153,1103,3153,1103,3153,1103v,-8,,-16,,-23c3153,1072,3152,1065,3150,1059v-3,-6,-6,-10,-12,-14c3133,1041,3125,1039,3115,1039v-7,,-13,2,-19,4c3091,1046,3087,1050,3084,1055v-4,4,-6,10,-8,16c3074,1077,3074,1083,3074,1089v,127,,127,,127c2998,1216,2998,1216,2998,1216hal2998,896hdxm3247,1100v,-18,3,-34,9,-49c3261,1036,3270,1023,3281,1012v10,-11,23,-20,38,-26c3334,980,3351,976,3369,976v18,,34,4,49,10c3433,992,3446,1001,3457,1012v11,11,20,24,26,39c3489,1066,3492,1082,3492,1100v,17,-3,34,-9,49c3477,1163,3468,1176,3457,1187v-11,11,-24,20,-39,26c3403,1219,3387,1222,3369,1222v-18,,-35,-3,-50,-9c3304,1207,3291,1198,3281,1187v-11,-11,-20,-24,-25,-38c3250,1134,3247,1117,3247,1100xm3323,1100v,7,,15,2,22c3326,1130,3329,1137,3333,1143v3,6,8,11,14,15c3353,1162,3360,1164,3369,1164v9,,16,-2,22,-6c3397,1154,3402,1149,3406,1143v3,-6,6,-13,7,-21c3415,1115,3415,1107,3415,1100v,-8,,-15,-2,-23c3412,1069,3409,1062,3406,1056v-4,-6,-9,-11,-15,-15c3385,1037,3378,1035,3369,1035v-9,,-16,2,-22,6c3341,1045,3336,1050,3333,1056v-4,6,-7,13,-8,21c3323,1085,3323,1092,3323,1100xm3512,983v74,,74,,74,c3586,1024,3586,1024,3586,1024v1,,1,,1,c3592,1009,3601,998,3614,990v12,-7,26,-11,43,-11c3660,979,3662,979,3665,979v3,,6,1,9,2c3674,1050,3674,1050,3674,1050v-5,-2,-9,-3,-14,-3c3655,1046,3650,1045,3645,1045v-9,,-18,2,-25,5c3613,1053,3607,1057,3603,1062v-5,5,-9,11,-11,18c3589,1086,3588,1093,3588,1101v,115,,115,,115c3512,1216,3512,1216,3512,1216hal3512,983hdxm3757,954v-76,,-76,,-76,c3681,896,3681,896,3681,896v76,,76,,76,hal3757,954hdxm3681,983v76,,76,,76,c3757,1216,3757,1216,3757,1216v-76,,-76,,-76,hal3681,983hdxm3929,1032v-47,,-47,,-47,c3882,1138,3882,1138,3882,1138v,9,2,16,7,18c3894,1159,3901,1161,3909,1161v3,,7,-1,10,-1c3922,1160,3926,1160,3929,1160v,56,,56,,56c3922,1216,3915,1216,3908,1217v-7,1,-14,1,-21,1c3871,1218,3858,1217,3847,1214v-11,-3,-19,-7,-25,-14c3816,1194,3812,1186,3809,1175v-2,-10,-3,-23,-3,-39c3806,1032,3806,1032,3806,1032v-39,,-39,,-39,c3767,983,3767,983,3767,983v39,,39,,39,c3806,913,3806,913,3806,913v76,,76,,76,c3882,983,3882,983,3882,983v47,,47,,47,hal3929,1032hdxm4068,1236v-5,13,-10,23,-16,31c4046,1274,4039,1280,4031,1284v-7,4,-16,7,-26,8c3995,1293,3983,1294,3971,1294v-36,,-36,,-36,c3935,1232,3935,1232,3935,1232v26,,26,,26,c3970,1232,3977,1230,3983,1225v6,-5,9,-11,9,-19c3992,1203,3991,1199,3989,1193v-2,-6,-3,-12,-5,-18c3981,1169,3979,1164,3977,1158v-2,-5,-4,-10,-5,-13c3912,983,3912,983,3912,983v81,,81,,81,c4037,1135,4037,1135,4037,1135v1,,1,,1,c4082,983,4082,983,4082,983v78,,78,,78,hal4068,1236hdxe" fillcolor="#4d4d4f" stroked="f">
          <v:path arrowok="t"/>
          <o:lock v:ext="edit" verticies="t"/>
          <w10:wrap anchorx="page" anchory="page"/>
          <w10:anchorlock/>
        </v:shape>
      </w:pict>
    </w:r>
    <w:r>
      <w:rPr>
        <w:noProof/>
      </w:rPr>
      <w:pict>
        <v:group id="Logo_acma_bw" o:spid="_x0000_s2053" style="position:absolute;margin-left:134.45pt;margin-top:34.4pt;width:118.3pt;height:36.6pt;z-index:-251659264;mso-position-horizontal-relative:page;mso-position-vertical-relative:page" coordorigin="1810,866" coordsize="2162,672">
          <v:group id="black_curl" o:spid="_x0000_s2054" style="position:absolute;left:1950;top:913;width:800;height:466;mso-position-horizontal-relative:page;mso-position-vertical-relative:page" coordorigin="702,1163" coordsize="1674,986">
            <v:line id="_x0000_s2055" style="position:absolute;visibility:visible" from="1140,1618" to="1140,1618" stroked="f">
              <o:lock v:ext="edit" aspectratio="t"/>
            </v:line>
            <v:line id="_x0000_s2056" style="position:absolute;visibility:visible" from="1140,1618" to="1140,1618" stroked="f">
              <o:lock v:ext="edit" aspectratio="t"/>
            </v:line>
            <v:shape id="_x0000_s2057" style="position:absolute;left:702;top:1297;width:831;height:434;visibility:visible" coordsize="3087,1614" path="m2115,416hdc2173,450,2317,542,2507,653v580,37,580,37,580,37c3058,376,3058,376,3058,376v,,,,,c2897,291,2751,217,2643,166v-10,-4,-20,-9,-30,-13c2598,144,2598,144,2598,144,2488,100,2393,73,2320,54v,,-3,-1,-6,-2c2165,17,2003,1,1834,,1178,,464,268,202,659,,961,106,1263,472,1449v,,2,1,4,2c666,1547,919,1606,1216,1614v66,-115,198,-302,403,-418c1627,1191,1627,1191,1627,1191v46,-39,196,-165,361,-261c1987,931,1987,931,1987,931v-15,9,-30,18,-44,27c1925,965,1925,965,1925,965v-140,57,-297,88,-451,88c1084,1053,857,868,959,661v93,-190,461,-332,760,-332c1777,329,1753,328,1827,331v73,4,180,32,240,60c2084,399,2115,416,2115,416e" fillcolor="black" stroked="f">
              <v:path arrowok="t"/>
              <o:lock v:ext="edit" aspectratio="t"/>
            </v:shape>
            <v:shape id="_x0000_s2058" style="position:absolute;left:1048;top:1468;width:964;height:681;visibility:visible" coordsize="3581,2529" path="m1010,890hdc1034,831,1105,745,1193,687v23,-15,46,-30,69,-43c1262,644,1623,426,1768,338,1788,,1788,,1788,,1224,17,1224,17,1224,17v2,1,2,1,2,1c1031,118,844,216,705,294,540,390,390,516,344,555v-7,7,-7,7,-7,7c208,686,113,824,57,974v,,,,,c53,985,49,996,46,1007,15,1100,,1194,1,1287v1,649,720,1242,1777,1242c2579,2529,3204,2176,3446,1710v2,-3,2,-3,2,-3c3554,1500,3581,1277,3521,1056,3343,1038,3040,991,2819,876v-22,-11,-22,-11,-22,-11c2740,849,2561,795,2345,682v7,4,7,4,7,4c2370,698,2370,698,2370,698v7,5,7,5,7,5c2486,790,2556,895,2573,1007v49,318,-305,607,-796,607c1287,1614,931,1325,979,1007v,,4,-56,31,-117e" fillcolor="black" stroked="f">
              <v:path arrowok="t"/>
              <o:lock v:ext="edit" aspectratio="t"/>
            </v:shape>
            <v:shape id="_x0000_s2059" style="position:absolute;left:1518;top:1296;width:858;height:433;visibility:visible" coordsize="3183,1611" path="m1167,232hdc1162,235,1162,235,1162,235v-28,39,-78,96,-168,165c1015,390,1015,390,1015,390v82,-34,193,-63,339,-63c1683,327,2021,468,2113,657v102,208,-125,392,-514,392c1529,1049,1444,1047,1357,1028v-87,-20,-209,-65,-294,-107c978,879,802,787,635,702,609,688,583,674,557,661,,630,,630,,630,21,977,21,977,21,977v1,-1,1,-1,1,-1c40,987,67,1003,99,1022v163,100,309,190,417,253c543,1291,570,1306,598,1320v216,114,395,168,452,184c1286,1573,1533,1608,1776,1608v949,3,1407,-471,1092,-949c2694,395,2317,189,1903,83v12,2,12,2,12,2c1718,34,1506,4,1293,v1,56,-14,156,-119,227hal1167,232hdxe" fillcolor="black" stroked="f">
              <v:path arrowok="t"/>
              <o:lock v:ext="edit" aspectratio="t"/>
            </v:shape>
            <v:shape id="_x0000_s2060" style="position:absolute;left:1206;top:1163;width:643;height:313;visibility:visible" coordsize="2385,1164" path="m1712,1152hdc1876,1057,2012,979,2099,927v17,-11,34,-22,51,-33c2152,893,2152,893,2152,893v96,-74,147,-134,173,-172c2372,646,2385,569,2365,495v-5,-16,-5,-16,-5,-16c2356,468,2356,468,2356,468,2253,193,1734,,1174,1,810,1,473,80,250,207v-4,2,-13,7,-17,10c121,285,38,366,,457v116,9,317,32,442,91c516,567,616,596,726,640,669,598,621,544,631,479,651,344,895,241,1176,241v281,,525,103,546,238c1725,499,1721,518,1715,536v-12,40,-36,80,-93,111c1609,654,1600,659,1588,664v-61,30,-213,108,-402,208c1154,1164,1154,1164,1154,1164v561,-10,561,-10,561,-10hal1712,1152hdxe" fillcolor="black" stroked="f">
              <v:path arrowok="t"/>
              <o:lock v:ext="edit" aspectratio="t"/>
            </v:shape>
          </v:group>
          <v:line id="black_line" o:spid="_x0000_s2061" style="position:absolute;visibility:visible;mso-position-horizontal-relative:page;mso-position-vertical-relative:page" from="1810,866" to="1810,1535"/>
          <v:shape id="grey" o:spid="_x0000_s2062" style="position:absolute;left:2574;top:1218;width:1398;height:320;visibility:visible;mso-position-horizontal:absolute;mso-position-horizontal-relative:page;mso-position-vertical:absolute;mso-position-vertical-relative:page" coordsize="10982,2496" path="m1096,1936hdc1464,1936,1587,1722,1568,1225v-108,70,-309,84,-477,130c919,1397,773,1471,773,1662v,195,150,274,323,274m96,796c109,487,255,286,464,164,673,46,946,,1214,v559,,1100,123,1100,791c2314,1823,2314,1823,2314,1823v,200,,418,91,604c1628,2427,1628,2427,1628,2427v-27,-72,-37,-145,-46,-222c1382,2414,1087,2496,805,2496,355,2496,,2268,,1782,,1014,837,1073,1373,964v132,-28,205,-73,205,-218c1578,568,1364,500,1205,500v-214,,-350,96,-386,296hal96,796hdxm4004,932c4000,732,3823,591,3627,591v-432,,-500,368,-500,696c3127,1591,3259,1905,3586,1905v268,,405,-155,441,-405c4777,1500,4777,1500,4777,1500v-69,632,-559,996,-1186,996c2882,2496,2354,2009,2354,1287,2354,537,2832,,3591,v586,,1109,309,1163,932hal4004,932hdxm4835,69v750,,750,,750,c5585,391,5585,391,5585,391v9,,9,,9,c5735,155,5985,,6271,v296,,560,96,687,382c7144,132,7376,,7694,v750,,832,568,832,1019c8526,2427,8526,2427,8526,2427v-773,,-773,,-773,c7753,1041,7753,1041,7753,1041v,-254,-122,-405,-322,-405c7099,636,7067,891,7067,1273v,1154,,1154,,1154c6294,2427,6294,2427,6294,2427v,-1340,,-1340,,-1340c6294,809,6212,636,6003,636v-277,,-396,160,-396,641c5607,2427,5607,2427,5607,2427v-772,,-772,,-772,hal4835,69hdxm9673,1938v369,,491,-209,473,-695c10037,1311,9837,1324,9668,1369v-172,42,-318,114,-318,301c9350,1861,9500,1938,9673,1938m8673,796v14,-309,159,-510,368,-632c9250,46,9523,,9791,v559,,1100,123,1100,791c10891,1823,10891,1823,10891,1823v,200,,418,91,604c10205,2427,10205,2427,10205,2427v-27,-72,-36,-145,-46,-222c9960,2414,9664,2496,9382,2496v-449,,-804,-228,-804,-714c8578,1014,9414,1073,9950,964v132,-28,205,-73,205,-218c10155,568,9941,500,9782,500v-213,,-350,96,-386,296hal8673,796hdxe" fillcolor="black" stroked="f">
            <v:path arrowok="t"/>
            <o:lock v:ext="edit" aspectratio="t" verticies="t"/>
          </v:shape>
          <w10:wrap anchorx="page" anchory="page"/>
          <w10:anchorlock/>
        </v:group>
      </w:pict>
    </w:r>
    <w:r>
      <w:rPr>
        <w:noProof/>
      </w:rPr>
      <w:pict>
        <v:group id="Logo_AustGov" o:spid="_x0000_s2049" style="position:absolute;margin-left:56.8pt;margin-top:34.1pt;width:68.8pt;height:36.25pt;z-index:-251660288;mso-position-horizontal-relative:page;mso-position-vertical-relative:page" coordorigin="-17209,-8401" coordsize="40176,21123">
          <o:lock v:ext="edit" aspectratio="t"/>
          <v:shape id="_x0000_s2050" style="position:absolute;left:-9301;top:-8401;width:22727;height:16658;visibility:visible" coordsize="9621,7052" path="m3475,3887hdc3449,3887,3429,3866,3429,3839v,-26,20,-47,46,-47c3501,3792,3522,3813,3522,3839v,27,-21,48,-47,48m5607,1945v-515,,-515,,-515,c5092,2854,5092,2854,5092,2854v515,,515,,515,hal5607,1945hdxm5607,2900v-515,,-515,,-515,c5092,3753,5092,3753,5092,3753v405,-241,405,-241,405,-241c5565,3465,5598,3384,5607,3285hal5607,2900hdxm5045,1945v-476,,-476,,-476,c4569,2854,4569,2854,4569,2854v476,,476,,476,hal5045,1945hdxm5045,2900v-476,,-476,,-476,c4569,3782,4569,3782,4569,3782v187,111,187,111,187,111c4769,3904,4786,3910,4806,3910v18,,35,-6,49,-17c4858,3893,4858,3893,4858,3893v187,-111,187,-111,187,-111hal5045,2900hdxm4376,2854v147,,147,,147,c4523,2521,4523,2521,4523,2521v-147,,-147,,-147,hal4376,2854hdxm4523,2900v-515,,-515,,-515,c4008,3285,4008,3285,4008,3285v8,99,42,180,109,227c4523,3753,4523,3753,4523,3753hal4523,2900hdxm4185,1945v-177,,-177,,-177,c4008,2296,4008,2296,4008,2296v177,,177,,177,hal4185,1945hdxm4256,2082v,29,,29,,29c4282,2092,4282,2092,4282,2092v25,19,25,19,25,19c4307,2082,4307,2082,4307,2082v27,-6,27,-6,27,-6c4313,2055,4313,2055,4313,2055v12,-24,12,-24,12,-24c4298,2033,4298,2033,4298,2033v-16,-28,-16,-28,-16,-28c4265,2034,4265,2034,4265,2034v-27,-3,-27,-3,-27,-3c4251,2055,4251,2055,4251,2055v-21,21,-21,21,-21,21hal4256,2082hdxm4356,2443v,3,-19,21,5,21c4416,2464,4355,2339,4307,2339v-33,,-25,48,-33,48c4267,2387,4280,2339,4231,2339v-26,,-35,13,-35,25c4183,2352,4176,2345,4165,2362v24,13,36,41,59,45c4208,2422,4156,2475,4184,2475v17,,20,-50,130,-50c4286,2448,4286,2448,4286,2448v17,10,17,10,17,10c4316,2458,4322,2432,4338,2432v18,11,18,11,18,11m4251,2734v-21,22,-21,22,-21,22c4256,2761,4256,2761,4256,2761v,30,,30,,30c4282,2772,4282,2772,4282,2772v25,19,25,19,25,19c4307,2761,4307,2761,4307,2761v27,-5,27,-5,27,-5c4313,2734,4313,2734,4313,2734v12,-24,12,-24,12,-24c4298,2713,4298,2713,4298,2713v-16,-29,-16,-29,-16,-29c4265,2714,4265,2714,4265,2714v-27,-4,-27,-4,-27,-4hal4251,2734hdxm4050,2396v-21,21,-21,21,-21,21c4056,2423,4056,2423,4056,2423v,29,,29,,29c4081,2434,4081,2434,4081,2434v25,18,25,18,25,18c4106,2423,4106,2423,4106,2423v26,-6,26,-6,26,-6c4112,2396,4112,2396,4112,2396v13,-24,13,-24,13,-24c4097,2374,4097,2374,4097,2374v-16,-28,-16,-28,-16,-28c4064,2374,4064,2374,4064,2374v-27,-2,-27,-2,-27,-2hal4050,2396hdxm4008,2854v177,,177,,177,c4185,2521,4185,2521,4185,2521v-177,,-177,,-177,hal4008,2854hdxm4444,2423v,29,,29,,29c4469,2434,4469,2434,4469,2434v25,18,25,18,25,18c4494,2423,4494,2423,4494,2423v26,-6,26,-6,26,-6c4499,2396,4499,2396,4499,2396v13,-24,13,-24,13,-24c4484,2374,4484,2374,4484,2374v-15,-28,-15,-28,-15,-28c4452,2374,4452,2374,4452,2374v-28,-2,-28,-2,-28,-2c4438,2396,4438,2396,4438,2396v-21,21,-21,21,-21,21hal4444,2423hdxm4523,1945v-147,,-147,,-147,c4376,2296,4376,2296,4376,2296v147,,147,,147,hal4523,1945hdxm5655,1899v-1,1369,-1,1369,-1,1369c5654,3400,5598,3516,5520,3552v-662,395,-662,395,-662,395c4845,3960,4826,3968,4806,3968v-24,,-46,-11,-60,-27c4093,3552,4093,3552,4093,3552v-76,-36,-132,-152,-132,-284c3959,1899,3959,1899,3959,1899v1,,1,,1,c3960,1898,3960,1898,3960,1898v1695,,1695,,1695,c5655,1899,5655,1899,5655,1899xm4496,3214v-3,-5,-65,21,-47,19c4451,3214,4485,3177,4500,3163v-3,-21,-30,-2,-59,13c4537,3038,4475,3095,4422,3104v85,-92,63,-91,,-62c4471,3003,4482,2956,4474,2941v-46,64,-89,54,-89,111c4385,3090,4371,3153,4351,3174v-25,28,-6,-102,-72,-102c4258,3072,4208,3070,4193,3097v34,47,34,47,34,47c4227,3158,4239,3196,4217,3196v-23,,-50,-48,-50,-71c4167,3102,4166,3108,4166,3075v,-55,-89,-131,-125,-131c4041,2981,4090,2991,4090,3039v-21,,-51,-39,-51,-15c4039,3049,4071,3053,4071,3074v,22,-36,-7,-36,15c4035,3109,4054,3106,4059,3126v-30,5,-30,5,-30,5c4044,3152,4044,3152,4044,3152v-5,5,-9,17,-9,48c4035,3308,4103,3359,4152,3359v36,,30,-25,34,-37c4188,3341,4205,3313,4205,3345v,33,-34,19,-34,48c4171,3432,4226,3391,4226,3434v,52,-7,51,-7,70c4273,3480,4273,3480,4273,3480v13,5,12,45,38,44c4327,3523,4330,3483,4343,3479v-7,3,52,39,52,20c4395,3449,4374,3471,4374,3436v,-32,70,-26,59,-42c4424,3380,4417,3389,4410,3365v2,4,-55,-81,12,-37c4491,3374,4499,3222,4496,3214t1808,358c6335,3572,6360,3550,6360,3523v,-27,-25,-49,-56,-49c6274,3474,6249,3496,6249,3523v,27,25,49,55,49m6078,3706v31,,56,-22,56,-50c6134,3630,6109,3607,6078,3607v-30,,-55,23,-55,49c6023,3684,6048,3706,6078,3706m3399,4015v31,,56,-22,56,-50c3455,3939,3430,3917,3399,3917v-30,,-55,22,-55,48c3344,3993,3369,4015,3399,4015t174,15c3604,4030,3629,4008,3629,3981v,-28,-25,-50,-56,-50c3542,3931,3517,3953,3517,3981v,27,25,49,56,49m8396,1692v-20,-21,-5,-69,-44,-74c8299,1743,8347,1883,8406,1993v5,24,,65,32,68c8497,1948,8479,1790,8396,1692m1319,1826v-12,-60,-36,-110,-88,-146c1200,1686,1200,1686,1200,1686v31,117,-23,280,92,363c1319,2061,1319,2061,1319,2061v-18,-65,-18,-163,,-235m8651,1835v-18,-27,-48,-33,-77,-30c8547,1820,8529,1849,8539,1882v17,24,47,39,74,33c8636,1900,8668,1868,8651,1835m1138,1966v-9,-24,-29,-30,-50,-39c1067,1930,1044,1934,1032,1954v-9,21,-6,48,12,63c1056,2032,1082,2032,1100,2032v24,-13,33,-39,38,-66m8766,2017v-17,-15,-35,-30,-62,-30c8683,1996,8660,2017,8654,2041v6,17,12,38,32,50c8716,2103,8745,2091,8766,2064v6,-17,6,-30,,-47m8598,2019v-18,-9,-33,-21,-57,-15c8512,2013,8500,2043,8500,2073v6,21,23,21,39,36c8565,2118,8586,2094,8601,2079v2,-18,20,-48,-3,-60m8382,2064v-15,-17,-35,-32,-60,-32c8293,2043,8275,2073,8278,2103v9,24,33,53,69,41c8385,2139,8382,2097,8382,2064t-6921,15c1449,2047,1404,2026,1375,2052v-6,18,-33,36,-12,57c1375,2130,1401,2147,1422,2142v18,-15,47,-33,39,-63m1283,2088v-11,-21,-33,-51,-65,-39c1195,2061,1177,2088,1192,2118v12,18,35,36,58,26c1272,2136,1283,2111,1283,2088t6383,12c7657,2085,7657,2055,7633,2064v-17,102,-64,223,-11,328c7649,2418,7652,2469,7693,2484v42,-39,21,-113,32,-170c7719,2237,7696,2162,7666,2100t-6522,36c1130,2109,1100,2094,1070,2097v-23,12,-41,42,-38,71c1047,2192,1070,2219,1106,2210v21,-21,47,-39,38,-74m8134,2222v-30,-17,-45,-57,-48,-89c8077,2115,8065,2097,8045,2111v-24,51,-36,108,-36,170c8030,2368,8089,2442,8130,2523v18,-15,18,-15,18,-15c8175,2412,8172,2308,8134,2222t372,-54c8491,2144,8459,2115,8426,2133v-23,14,-41,41,-32,71c8403,2237,8432,2246,8462,2240v29,-9,41,-42,44,-72m1286,2261v-6,-30,-33,-42,-59,-56c1210,2210,1189,2210,1180,2228v-15,24,-9,45,,68c1200,2306,1218,2335,1242,2317v23,-6,44,-33,44,-56m1416,2246v-15,-27,-32,-51,-68,-42c1328,2222,1310,2240,1316,2269v14,22,32,49,68,37c1396,2291,1428,2276,1416,2246t7172,-9c8498,2261,8411,2311,8350,2392v-33,53,-87,107,-81,167c8296,2555,8320,2534,8338,2520v79,-27,150,-87,183,-167c8527,2314,8586,2276,8588,2237m1227,2362v-38,-51,-94,-63,-145,-101c1062,2264,1023,2237,1015,2270v70,104,168,252,313,262c1348,2502,1348,2502,1348,2502v-53,-45,-76,-90,-121,-140m8607,2403v-104,114,-199,218,-260,346c8379,2770,8414,2737,8447,2725v115,-62,177,-193,184,-322hal8607,2403hdxm8062,2490v-14,-15,-23,-30,-41,-36c7986,2463,7986,2463,7986,2463v-27,9,-45,36,-42,66c7959,2552,7980,2579,8012,2576v36,-15,60,-42,50,-86m1064,2517v-61,-15,-115,-45,-180,-39c863,2487,825,2475,822,2508v103,30,172,116,272,151c1138,2659,1186,2684,1224,2657v-53,-48,-104,-102,-160,-140m4491,1740v22,-4,22,-4,22,-4hal4491,1740hdxm1916,2570v-6,-26,-36,-30,-59,-36c1833,2547,1804,2570,1815,2603v15,24,33,27,56,36c1898,2627,1919,2606,1916,2570t-192,c1700,2547,1665,2565,1644,2585v-15,24,3,45,21,63c1682,2672,1715,2657,1736,2639v9,-21,6,-51,-12,-69m8092,2654v-12,-18,-35,-39,-62,-30c8009,2630,7989,2645,7986,2669v,38,38,44,68,53c8077,2710,8104,2687,8092,2654t157,-6c8234,2636,8219,2621,8198,2627v-23,14,-50,30,-44,62c8163,2719,8192,2731,8226,2725v29,-24,29,-24,29,-24c8278,2687,8257,2663,8249,2648m981,2683v-8,-32,-34,-47,-70,-50c887,2642,881,2663,878,2683v24,39,24,39,24,39c940,2734,970,2719,981,2683t997,51c1966,2701,1931,2678,1898,2689v-24,7,-35,36,-35,60c1878,2770,1898,2794,1928,2791v21,-12,47,-33,50,-57m1804,2713v-18,-12,-30,-27,-54,-21c1733,2698,1718,2716,1706,2728v-6,30,15,42,33,57c1768,2803,1795,2776,1812,2761v-8,-48,-8,-48,-8,-48m8701,2749v-15,-18,-33,-36,-59,-42c8621,2713,8601,2725,8586,2746v,15,-6,39,12,45c8613,2809,8639,2815,8663,2805v15,-8,38,-32,38,-56m8890,2776v-9,-30,-44,-45,-73,-30c8801,2752,8790,2773,8790,2794v-6,27,27,33,44,35c8861,2827,8881,2803,8890,2776t-7571,41c1304,2797,1289,2785,1262,2782v-18,12,-44,6,-50,33c1200,2835,1212,2859,1227,2874v15,12,35,27,56,14c1313,2877,1325,2853,1319,2817t144,27c1449,2809,1387,2785,1363,2829v-21,27,3,54,24,72c1404,2913,1425,2904,1440,2895v6,-18,32,-27,23,-51m8527,2829v-15,-24,-42,-26,-68,-24c8438,2821,8424,2838,8426,2862v6,24,33,42,59,36c8503,2880,8529,2859,8527,2829t242,48c8751,2868,8745,2853,8725,2841v-30,-6,-57,12,-71,36c8645,2898,8648,2925,8666,2940v17,14,47,17,70,12c8766,2934,8763,2904,8769,2877t-7563,63c1194,2904,1141,2868,1115,2919v-3,15,-12,44,9,56c1141,2985,1162,2993,1183,2981v9,-11,35,-18,23,-41m8583,2996v-95,-3,-163,-83,-249,-95c8296,2910,8243,2907,8228,2945v39,24,83,36,119,66c8409,3067,8514,3059,8586,3023v-3,-27,-3,-27,-3,-27m1348,2970v-18,-33,-56,-51,-88,-18c1242,2975,1254,3008,1280,3026v16,6,39,12,50,-6c1336,3003,1354,2993,1348,2970t261,17c1588,2954,1535,2931,1508,2975v-27,24,,48,14,69c1541,3047,1558,3065,1579,3053v24,-15,41,-39,30,-66m5026,3113v-27,-31,-70,-87,-120,-48c4878,3088,4864,3124,4872,3165v11,75,45,146,56,217c4911,3373,4900,3356,4886,3345v-59,-76,-168,-54,-236,-125c4569,3227,4704,3311,4608,3329v-2,19,20,31,20,50c4600,3393,4600,3393,4600,3393v,51,31,96,47,142c4687,3640,4810,3588,4894,3597v46,-23,88,-54,113,-96c5010,3453,5024,3391,4996,3351v-34,-43,-45,-111,-59,-167c4922,3105,5021,3173,5026,3113m1869,3094v-12,-21,-36,-29,-57,-29c1795,3080,1774,3094,1783,3124v12,15,27,45,53,33c1854,3142,1877,3124,1869,3094t1824,30c3684,3094,3648,3106,3642,3136v-32,116,-91,271,-11,381c3663,3520,3655,3482,3657,3458v60,-99,71,-218,36,-334m6223,3181v-11,-24,-8,-78,-50,-69c6170,3169,6153,3216,6138,3270v8,75,35,143,68,212c6229,3458,6229,3458,6229,3458v39,-84,36,-194,-6,-277m2072,3193v-141,-30,-260,32,-336,139c1825,3348,1927,3335,1999,3282v32,-24,83,-33,100,-69hal2072,3193hdxm855,3332v-3,132,67,257,180,308c1068,3633,1091,3670,1115,3651v11,-23,-18,-27,-27,-39c1023,3505,993,3398,884,3321hal855,3332hdxm6108,3413v-15,-27,-56,-39,-80,-15c6023,3413,6005,3425,6014,3446v9,27,35,44,68,36c6105,3473,6111,3443,6108,3413t2703,42c8787,3443,8754,3455,8730,3466v-156,39,-209,206,-310,313c8450,3788,8450,3788,8450,3788v165,-48,266,-199,361,-333m739,3601v-6,-30,-29,-39,-53,-51c662,3556,636,3586,648,3615v12,25,38,39,62,28c737,3640,725,3612,739,3601t852,42c1490,3568,1348,3592,1227,3562v-12,27,-12,27,-12,27c1304,3678,1431,3719,1555,3675v15,-5,44,-5,36,-32m902,3603v-15,-14,-33,-20,-56,-23c822,3589,799,3607,796,3636v11,18,20,30,38,39c863,3681,890,3675,908,3648v-6,-45,-6,-45,-6,-45m3672,3618v-8,-26,-50,-29,-77,-23c3575,3601,3566,3630,3575,3651v11,19,35,30,62,24c3655,3663,3678,3645,3672,3618t5209,-17c8852,3597,8825,3609,8814,3636v-6,21,11,34,14,48c8846,3693,8867,3702,8884,3693v21,-18,48,-33,39,-63hal8881,3601hdxm9118,3618v-24,,-35,-29,-65,-17c9035,3609,9009,3627,9009,3651v3,27,26,36,44,54c9070,3714,9094,3708,9106,3687v15,-21,30,-42,12,-69m616,3705v-10,-27,-37,-39,-60,-45c527,3670,509,3693,503,3720v9,20,24,38,44,48c565,3773,579,3761,595,3756v5,-18,23,-30,21,-51m6841,3705v-23,-39,-74,-27,-97,6c6735,3738,6755,3756,6774,3773v29,15,53,-5,71,-29c6841,3705,6841,3705,6841,3705t-5750,44c1091,3711,1059,3681,1023,3693v-26,15,-23,42,-23,68c1015,3773,1023,3797,1050,3794v27,-3,35,-23,41,-45m807,3756v-14,-16,-29,-45,-56,-45c721,3720,701,3752,698,3779v15,27,44,54,80,42c796,3806,816,3785,807,3756t6229,-7c7021,3728,7004,3717,6978,3717v-36,6,-39,39,-54,62c6939,3803,6969,3833,7004,3821v29,-13,38,-42,32,-72m947,3761v-10,-23,-27,-44,-57,-41c869,3731,849,3746,851,3777v4,20,27,26,39,41c908,3824,917,3807,931,3807v6,-16,24,-25,16,-46m8760,3785v,-56,-79,-80,-109,-29c8654,3808,8654,3808,8654,3808v18,10,32,31,56,25c8734,3821,8752,3808,8760,3785t226,12c8976,3768,8949,3740,8914,3753v-18,3,-24,15,-36,26c8858,3815,8887,3836,8914,3847v29,-2,62,-17,72,-50m7581,3818v-18,-21,-33,-33,-60,-33c7489,3800,7474,3830,7480,3863v18,11,35,21,56,24c7560,3868,7595,3857,7581,3818t-814,36c6753,3821,6691,3824,6676,3857v-6,27,8,45,29,56c6732,3931,6755,3902,6773,3890v-6,-36,-6,-36,-6,-36m6933,3874v-9,-23,-32,-23,-53,-29c6841,3868,6841,3868,6841,3868v4,45,4,45,4,45c6865,3919,6889,3943,6909,3922v21,-12,27,-23,24,-48m1916,3877v-18,-14,-32,-26,-59,-30c1833,3847,1833,3868,1815,3874v-5,24,-8,63,21,75c1863,3966,1895,3952,1910,3934v3,-18,23,-39,6,-57m7897,3890v-21,-24,-47,-54,-89,-37c7802,3868,7785,3880,7785,3899v14,23,32,50,67,38c7873,3931,7903,3919,7897,3890t-160,c7725,3869,7699,3853,7672,3853v-20,7,-29,24,-48,39c7624,3910,7624,3928,7640,3937v17,18,44,21,64,12c7716,3934,7749,3919,7737,3890t1324,26c8934,3910,8805,3812,8678,3893v-24,14,-68,,-77,38c8719,3976,8878,4032,9003,3958v20,-12,73,8,68,-32hal9061,3916hdxm970,3880v-142,-20,-287,,-396,80c586,3979,586,3979,586,3979v130,41,272,-3,380,-69c979,3890,979,3890,979,3890hal970,3880hdxm8198,3910v-11,-30,-47,-33,-67,-33c8106,3887,8083,3910,8092,3934v9,32,48,42,77,32c8187,3955,8198,3934,8198,3910t-6690,12c1490,3895,1463,3868,1428,3887v-15,15,-38,23,-29,56c1408,3967,1443,3993,1472,3981v30,-11,24,-35,36,-59m1299,3937v-7,-30,-34,-42,-60,-48c1218,3898,1210,3907,1192,3922v-9,33,12,54,32,72c1242,4000,1268,4002,1283,3985v6,-15,24,-27,16,-48m8405,4006v-5,-25,-26,-46,-53,-48c8314,3973,8314,3973,8314,3973v-18,15,-21,39,-12,57c8314,4044,8334,4062,8358,4059v24,-6,45,-27,47,-53m1070,3967v-121,53,-212,140,-298,250c784,4240,784,4240,784,4240v79,-20,159,-20,216,-88c1023,4107,1056,4074,1064,4023v3,-17,24,-27,15,-50hal1070,3967hdxm8258,4039v-9,-25,-36,-46,-66,-39c8175,4014,8145,4026,8154,4059v12,21,33,36,59,36c8234,4080,8263,4074,8258,4039t-6839,c1410,4012,1375,4008,1349,4012v-30,8,-42,41,-30,68c1336,4100,1357,4110,1384,4110v17,-15,41,-23,44,-57c1419,4039,1419,4039,1419,4039t7382,89c8754,4074,8683,4006,8598,4012v-33,23,23,44,35,71c8668,4173,8760,4232,8846,4268v35,-4,35,-4,35,-4c8878,4240,8861,4220,8840,4205v-3,-39,41,-6,62,-21c8926,4169,8953,4152,8940,4116v-14,-21,-41,-39,-70,-33c8837,4089,8831,4125,8801,4128t285,-93c9065,4020,9044,4008,9018,4014v-21,9,-33,21,-45,39c8968,4077,8982,4092,8997,4107v26,3,71,15,86,-15c9086,4035,9086,4035,9086,4035m8013,4196v-12,-32,-36,-47,-57,-77c7903,4077,7829,4020,7752,4035v-3,21,20,36,29,48c7820,4202,7950,4264,8051,4321v26,-6,26,-6,26,-6c8065,4280,8039,4229,8013,4196m1254,4083v-15,-15,-30,-39,-54,-36c1177,4059,1138,4086,1159,4119v18,18,35,30,68,24c1242,4130,1265,4110,1254,4083t7128,69c8361,4122,8314,4089,8281,4130v-18,15,-3,39,3,54c8305,4205,8329,4196,8352,4193v9,-12,33,-24,30,-41m9083,4164v-30,-12,-57,2,-77,20c9003,4205,8991,4223,9006,4240v17,16,41,36,70,28c9100,4253,9127,4229,9118,4193hal9083,4164hdxm7072,4604v-142,-42,-295,-9,-402,81c6670,4703,6670,4703,6670,4703v109,2,219,2,311,-45c7007,4631,7072,4640,7072,4604m2759,4732v-6,-21,-30,-41,-57,-45c2682,4702,2653,4717,2664,4753v8,18,29,30,51,30c2741,4774,2756,4759,2759,4732t4262,33c7001,4711,6924,4711,6904,4765v8,47,8,47,8,47c6933,4825,6950,4839,6978,4833v29,-12,38,-41,43,-68m7611,4759v-154,-12,-332,-12,-430,107c7196,4879,7196,4879,7196,4879v160,2,160,2,160,2c7454,4881,7537,4825,7611,4777hal7611,4759hdxm1949,4848v-12,-23,-45,-59,-78,-38c1848,4825,1836,4852,1848,4878v12,21,32,32,62,27c1937,4896,1949,4875,1949,4848t147,30c2088,4857,2066,4848,2046,4839v-9,12,-27,9,-36,27c2002,4884,2007,4905,2028,4916v15,16,38,9,57,c2096,4878,2096,4878,2096,4878m965,5178c896,5089,872,4994,771,4937v-20,-8,-44,-21,-61,-32c689,4910,662,4872,651,4908v103,68,100,184,203,244c887,5170,934,5214,965,5178t3916,-56c4879,5074,4916,5036,4899,4985v-29,-36,-44,-75,-86,-92c4792,4926,4743,4946,4769,4995v20,38,20,82,44,118c4802,5161,4846,5188,4837,5232v12,-5,12,-5,12,-5c4846,5188,4870,5158,4881,5122m9582,4023v39,80,30,203,-20,274c9491,4419,9357,4468,9222,4468v-1168,17,-2280,26,-3466,38c5594,4512,5413,4565,5351,4729v18,36,39,-21,74,-9c5644,4583,5981,4589,6233,4652v73,21,147,39,221,59c6496,4723,6537,4735,6581,4747v201,72,411,125,600,223c7250,4997,7317,5029,7385,5062v33,6,60,33,92,39c7566,5143,7655,5181,7746,5224v26,-3,26,-3,26,-3c7752,5214,7731,5188,7728,5163v3,-20,27,-41,44,-50c7802,5113,7826,5125,7841,5146v3,32,-18,59,-47,75c7770,5227,7770,5227,7770,5227v183,71,378,125,582,145c8391,5402,8462,5363,8494,5405v3,-3,3,-3,3,-3c8497,5408,8497,5408,8497,5408v-89,21,-163,-21,-251,-12c8124,5366,7997,5348,7882,5304v-41,,-74,-15,-103,-33c7643,5235,7521,5170,7388,5125v-5,9,-5,9,-5,9c7430,5176,7459,5241,7489,5292v3,-24,21,-47,36,-65c7554,5221,7592,5221,7611,5247v13,15,2,36,,54c7599,5322,7572,5322,7554,5334v-17,-7,-35,-9,-50,-27c7483,5346,7527,5375,7530,5414v50,208,,435,-97,598c7415,6039,7410,6078,7377,6102v-27,-21,15,-47,23,-72c7474,5869,7510,5711,7510,5522v-30,-242,-196,-474,-432,-540c7007,4952,6933,4935,6862,4914v-9,12,-9,12,-9,12c6921,5051,7051,5086,7069,5235v18,31,18,80,,111c7061,5352,7061,5352,7061,5352v-83,-93,-137,-203,-169,-323c6815,4819,6578,4836,6416,4756v-133,-27,-255,-75,-399,-71c6005,4697,6005,4697,6005,4697v68,71,130,134,159,219c6244,5077,6197,5301,6300,5444v42,53,104,92,113,166c6419,5634,6439,5661,6422,5688v-71,-9,-116,-80,-142,-134c6268,5500,6262,5447,6223,5405v-8,51,-11,111,-26,152c6167,5548,6185,5504,6182,5471v-6,-18,-6,-18,-6,-18c6138,5485,6105,5557,6049,5578v-35,15,-86,35,-121,15c5942,5557,5978,5522,6008,5497v73,-33,168,-74,192,-163c6215,5152,6170,4985,6084,4845v-49,-65,-117,-113,-180,-154c5869,4697,5869,4697,5869,4697v56,53,76,109,112,175c6008,4976,6064,5093,6019,5199v-14,30,-14,78,-50,84c5875,5128,6040,4929,5904,4789v-42,-45,-94,-87,-156,-98c5591,4705,5455,4762,5325,4839v-24,48,-7,90,,137c5351,5024,5372,5068,5408,5107v74,51,197,71,284,27c5745,5110,5783,5051,5789,4995v-3,-46,-9,-90,-41,-117c5721,4860,5685,4842,5653,4860v-35,24,-74,45,-80,89c5565,4967,5541,4965,5529,4965v-21,-13,-18,-39,-18,-63c5549,4845,5597,4792,5674,4792v65,,120,27,162,77c5902,4944,5854,5048,5816,5119v-77,95,-196,126,-320,105c5387,5191,5283,5110,5239,4997v-12,-21,,-89,-50,-60c5044,5065,4922,5229,4885,5426v-10,21,-18,47,-10,71c4772,5488,4772,5488,4772,5488v12,-44,-3,-98,-3,-148c4713,5184,4607,5033,4464,4946v-20,49,-29,90,-65,128c4314,5191,4172,5232,4036,5199v-92,-26,-163,-95,-184,-190c3835,4935,3858,4854,3920,4800v39,-38,107,-41,163,-32c4128,4774,4139,4819,4172,4836v-12,48,-12,48,-12,48c4121,4902,4095,4872,4065,4857v-53,-18,-97,12,-130,48c3920,4965,3938,5042,3983,5086v73,57,189,51,268,3c4314,5051,4358,4970,4361,4889v-6,-41,-56,-58,-85,-79c4133,4747,3991,4664,3829,4679v-68,26,-130,56,-160,131c3613,4905,3672,4997,3681,5095v-21,60,-24,129,-62,182c3578,5250,3586,5191,3569,5152v-47,-84,-24,-185,26,-259c3642,4816,3652,4729,3731,4666v-3,-8,-3,-8,-3,-8c3719,4658,3719,4658,3719,4658v-64,15,-133,50,-186,101c3506,4792,3465,4831,3450,4872v-35,57,-47,123,-59,185c3385,5176,3385,5298,3444,5396v113,6,243,24,308,126c3731,5542,3731,5542,3731,5542v-64,,-118,-26,-180,-42c3513,5488,3492,5429,3444,5456v4,32,42,56,21,89c3441,5539,3415,5516,3409,5485v-3,78,-50,144,-101,197c3250,5676,3250,5676,3250,5676v17,-30,22,-73,40,-98c3329,5506,3409,5456,3382,5363v-41,-160,-44,-384,51,-515c3459,4768,3545,4705,3604,4640v-3,-18,-24,-4,-32,-12c3290,4631,3063,4756,2821,4852v-136,97,-59,264,-80,398c2715,5301,2682,5360,2631,5387v-11,-18,6,-44,,-72c2620,5158,2693,5033,2744,4902v-9,-13,-9,-13,-9,-13c2548,4985,2288,5060,2247,5313v-53,149,-89,330,-27,488c2203,5807,2203,5807,2203,5807v-83,-152,-47,-360,,-518c2229,5245,2250,5197,2265,5146v-36,-15,-68,21,-107,24c2120,5188,2079,5203,2034,5211v-62,30,-133,39,-195,69c1854,5289,1878,5292,1883,5313v12,39,-14,59,-44,71c1815,5378,1786,5366,1780,5340v-12,-33,18,-36,27,-60c1788,5262,1768,5280,1750,5283v-109,3,-221,27,-334,30c1372,5331,1316,5301,1274,5327v12,25,15,51,-3,75c1251,5417,1251,5417,1251,5417v-33,9,-53,-15,-77,-36c1156,5343,1221,5319,1162,5304v-100,-15,-219,-30,-302,36c784,5384,727,5492,630,5500v-56,24,-127,6,-183,30c435,5500,435,5500,435,5500v59,-27,118,-83,168,-137c642,5348,683,5331,730,5334v36,-19,77,-21,113,-30c872,5301,899,5295,922,5280v-26,-9,-55,-24,-70,-42c940,5235,1026,5262,1115,5266v301,11,612,2,881,-88c2017,5167,2017,5167,2017,5167v-54,-12,-107,-21,-154,-42c1798,5113,1727,5081,1670,5042v-38,-57,-118,-6,-159,-57c1446,4940,1396,4863,1330,4825v18,-22,18,-22,18,-22c1479,4798,1599,4860,1647,4976v109,113,275,161,438,143c2238,5128,2353,5004,2492,4949v21,-14,45,-20,63,-41c2487,4863,2401,4899,2327,4866v-51,-24,-103,-50,-128,-98c2217,4756,2241,4774,2268,4768v77,6,180,-21,236,42c2540,4833,2563,4875,2608,4884v145,-42,275,-119,411,-185c2992,4675,2969,4708,2939,4702v-130,-15,-216,-140,-361,-128c2575,4553,2575,4553,2575,4553v136,-35,322,-41,429,54c3040,4640,3093,4666,3149,4655v106,-30,212,-75,331,-69c3778,4551,4086,4607,4320,4759v20,-3,20,-3,20,-3c4314,4640,4204,4562,4101,4529v-284,-56,-600,-8,-881,-23c343,4494,343,4494,343,4494,210,4476,71,4387,24,4255,3,4172,,4065,71,4006v50,-54,127,-75,201,-69c328,3952,394,3996,411,4059v21,15,12,44,9,66c411,4164,382,4205,343,4220v-20,9,-32,-15,-36,-27c323,4160,355,4125,355,4087v-21,-34,-53,-79,-101,-84c195,4008,136,4026,104,4083v-24,42,-24,119,,164c139,4375,288,4417,408,4428v869,15,1667,-23,2543,-11c4027,4423,4027,4423,4027,4423v74,20,169,26,213,92c4361,4571,4444,4705,4464,4845v74,78,163,131,225,227c4710,5039,4680,5004,4678,4970,4497,4559,4231,4190,3829,3966v-98,-56,-192,-119,-296,-157c3533,3809,3303,3669,3216,3647v28,-76,28,-76,28,-76c3587,3732,3923,3937,4228,4167v,-7,,-7,,-7c4198,4050,4267,3958,4260,3853v45,37,45,37,45,37c4325,3937,4325,3937,4325,3937v30,69,18,173,-38,227c4273,4193,4299,4217,4305,4244v153,170,281,336,378,545c4713,4810,4707,4857,4739,4878v15,-15,45,-21,33,-50c4725,4750,4671,4693,4645,4607v-44,-45,-47,-118,-77,-173c4512,4324,4538,4178,4609,4087v30,16,30,16,30,16c4648,4182,4692,4255,4666,4342v-39,86,-39,215,26,277c4733,4679,4760,4759,4831,4789v57,-36,77,-90,118,-143c4949,4634,4949,4634,4949,4634v145,-161,-48,-411,79,-578c5084,4030,5084,4030,5084,4030v-68,41,38,101,19,166c5127,4235,5094,4282,5100,4330v-21,18,-6,57,-26,72c5044,4565,4964,4708,4864,4836v15,33,32,66,67,72c5026,4711,5106,4503,5248,4330v42,-48,-3,-110,-12,-163c5210,4098,5233,3979,5260,3913v43,-28,43,-28,43,-28c5296,3903,5318,3950,5325,3966v29,37,26,87,32,132c5354,4143,5345,4187,5328,4223v304,-304,703,-462,1088,-611c6466,3612,6505,3583,6551,3573v33,-11,63,-32,75,-68c6797,3478,6797,3478,6797,3478v124,-26,243,-83,360,-133c7974,2978,7974,2978,7974,2978v44,-26,101,-68,136,-116c8110,2829,8075,2796,8110,2770v14,-18,38,-21,59,-12c8190,2767,8204,2791,8201,2815v-67,86,-141,170,-224,244c7185,3422,7185,3422,7185,3422v-107,27,-199,89,-305,116c6889,3556,6889,3556,6889,3556v301,,301,,301,c7356,3571,7356,3571,7356,3571v68,30,148,36,222,47c7728,3657,7882,3693,8033,3728v124,-26,178,-172,301,-196c8369,3535,8414,3496,8441,3527v3,23,-30,17,-35,35c8334,3642,8249,3717,8148,3728v-38,21,-38,21,-38,21c8148,3791,8219,3794,8269,3824v78,33,163,63,225,119c8432,3946,8379,3905,8323,3887v-201,-87,-411,-140,-630,-179c7681,3731,7723,3758,7684,3785v-15,6,-29,22,-51,15c7607,3788,7580,3765,7599,3731v28,-32,28,-32,28,-32c7569,3672,7495,3654,7430,3670v15,26,76,44,47,86c7421,3753,7397,3690,7344,3684v-142,-36,-142,-36,-142,-36c7181,3630,7181,3630,7181,3630v-150,3,-319,-38,-452,6c6705,3627,6705,3627,6705,3627v-156,43,-156,43,-156,43c6508,3642,6466,3681,6422,3681v-110,42,-219,72,-323,128c5972,3863,5845,3922,5733,4006v9,17,9,17,9,17c5866,4032,5978,3958,6097,4014v47,39,115,54,156,93c6244,4128,6244,4128,6244,4128v-147,15,-289,-3,-411,-60c5721,4068,5591,4050,5517,4149v-174,127,-281,312,-393,494c5091,4708,5091,4789,5047,4848v-15,72,-48,134,-62,206c4994,5062,4994,5062,4994,5062v65,-80,150,-163,230,-234c5257,4705,5318,4568,5443,4509v272,-167,633,-78,949,-107c6392,4402,9086,4414,9331,4378v77,-15,151,-74,183,-149c9532,4178,9532,4122,9514,4071v-18,-41,-53,-63,-89,-86c9390,3985,9340,3970,9310,4000v-29,26,-44,62,-32,103c9283,4133,9325,4133,9310,4172v-12,21,-38,24,-59,15c9201,4149,9177,4089,9195,4023v32,-65,88,-116,166,-121c9455,3902,9535,3937,9582,4023m8089,4935v-159,-36,-322,23,-429,139c7666,5095,7666,5095,7666,5095v39,-9,39,-9,39,-9c7852,5081,7997,5054,8101,4961v-12,-26,-12,-26,-12,-26m7613,4982v-12,-42,-68,-42,-92,-17c7512,4979,7492,4991,7501,5014v14,25,32,46,65,49c7599,5048,7625,5024,7613,4982t-5620,6c1975,4961,1949,4965,1925,4965v-24,14,-39,30,-39,56c1892,5039,1904,5062,1925,5065v53,-14,53,-14,53,-14c1996,5036,1998,5009,1993,4988t-530,193c1352,5101,1263,4982,1115,4982v-18,6,,18,,27c1183,5039,1230,5099,1272,5158v53,42,121,60,191,45c1463,5181,1463,5181,1463,5181m8497,4982v-115,47,-216,170,-263,284c8252,5286,8269,5256,8290,5256v121,-45,180,-170,249,-271hal8497,4982hdxm2164,5021v-12,-21,-38,-39,-62,-33c2088,5004,2061,5015,2072,5045v16,17,27,36,51,32c2144,5060,2167,5054,2164,5021t6732,c8801,5060,8742,5161,8701,5250v-15,27,-50,57,-35,87c8760,5322,8810,5245,8870,5176v26,-42,14,-99,41,-137hal8896,5021hdxm547,5065v-20,-36,-73,-20,-92,7c444,5095,453,5128,479,5142v24,10,51,4,68,-11c565,5107,556,5086,547,5065t-169,36c364,5081,334,5065,307,5077v-22,12,-32,36,-29,63c293,5167,313,5184,346,5178v18,-2,32,-20,41,-36c378,5101,378,5101,378,5101t349,18c707,5095,680,5093,650,5095v-20,12,-34,33,-34,60c639,5178,662,5208,704,5191v35,-7,29,-48,23,-72m1212,5158v-12,-24,-38,-15,-56,-24c1138,5143,1127,5152,1115,5167v-18,21,15,36,20,54c1192,5214,1192,5214,1192,5214v23,-6,18,-36,20,-56m9195,5178v-6,-32,-45,-44,-74,-44c9098,5143,9071,5161,9082,5194v16,27,42,29,68,32c9174,5226,9186,5200,9195,5178t-541,16c8636,5164,8615,5143,8577,5146v-24,9,-45,27,-50,53c8541,5232,8577,5262,8618,5245v13,-10,39,-27,36,-51m9020,5188v-8,-36,-59,-39,-85,-24c8917,5181,8896,5203,8923,5227v17,18,47,20,71,11c9009,5229,9020,5208,9020,5188m470,5238v-17,-21,-41,-39,-71,-30c375,5217,367,5245,370,5271v8,27,38,42,65,42c464,5300,476,5271,470,5238t8036,33c8488,5238,8429,5221,8406,5266v-24,14,-10,47,2,61c8426,5343,8441,5354,8465,5348v32,-14,50,-44,41,-77m2061,5304v-18,-18,-30,-48,-62,-39c1981,5271,1975,5283,1960,5295v-9,27,9,45,24,62c2028,5360,2028,5360,2028,5360v9,-17,44,-23,33,-56m9142,5325v-9,-30,-42,-42,-68,-42c9053,5289,9050,5304,9032,5315v,28,,51,27,67c9080,5387,9109,5384,9127,5369v3,-15,20,-24,15,-44m8958,5334v-11,-18,-23,-33,-44,-42c8890,5286,8878,5304,8861,5307v-50,36,33,65,-6,107c8801,5417,8731,5402,8692,5440v24,21,60,21,80,36c8849,5560,8958,5586,9065,5589v,-23,,-23,,-23c9005,5510,8958,5447,8881,5408v3,-18,21,-9,33,-12c8938,5387,8970,5369,8958,5334t-1209,3c7740,5292,7663,5283,7640,5327v-9,30,15,48,29,69c7690,5405,7716,5402,7734,5384v15,-47,15,-47,15,-47m1138,5440v3,-44,-56,-62,-89,-35c1047,5419,1032,5432,1034,5453v10,23,30,33,54,36c1118,5486,1129,5468,1138,5440t223,-38c1274,5465,1180,5518,1133,5619v-12,27,-62,60,-51,87c1195,5697,1274,5608,1319,5510v14,-43,59,-66,59,-108hal1361,5402hdxm7678,5444v-23,-33,-74,-63,-109,-27c7557,5440,7542,5464,7566,5489v15,11,35,33,61,23c7651,5500,7681,5476,7678,5444t184,20c7852,5429,7808,5426,7782,5429v-21,3,-27,27,-42,42c7740,5494,7758,5512,7779,5524v29,6,29,6,29,6c7838,5522,7859,5497,7862,5464t-6026,-2c1815,5444,1806,5417,1771,5429v-15,15,-41,33,-35,59c1748,5510,1765,5527,1792,5524v23,-12,47,-29,44,-62m2040,5473v-6,-33,-38,-44,-68,-44c1951,5444,1928,5459,1931,5488v9,24,32,30,53,36c2013,5518,2031,5500,2040,5473t6457,209c8462,5596,8397,5522,8329,5465v-24,-9,-54,-42,-80,-15c8278,5539,8331,5617,8402,5688v45,9,83,63,131,42c8539,5709,8512,5693,8497,5682t110,-209c8586,5465,8571,5447,8551,5450v-22,9,-48,15,-57,38c8477,5516,8503,5539,8518,5557v27,6,65,12,83,-18c8613,5518,8615,5495,8607,5473t-6295,78c2294,5536,2279,5524,2256,5530v-18,18,-50,24,-36,59c2230,5622,2265,5631,2291,5626v30,-16,24,-51,21,-75m7770,5655v-30,-8,-51,-62,-80,-35c7702,5649,7702,5649,7702,5649v50,134,80,269,213,363c7927,6012,7927,6012,7927,6012v17,-15,-6,-35,3,-56c7924,5879,7894,5805,7852,5744hal7770,5655hdxm2555,5619v-92,-11,-175,30,-261,57c2279,5703,2279,5703,2279,5703v136,80,302,30,420,-54c2696,5644,2696,5644,2696,5644hal2555,5619hdxm2022,5634v-156,15,-330,101,-384,263c1667,5914,1682,5881,1706,5873v124,-30,216,-152,316,-215hal2022,5634hdxm7678,5792v-15,-24,-35,-24,-62,-30c7601,5771,7581,5774,7572,5795v,21,,48,27,60c7655,5855,7655,5855,7655,5855v23,-6,32,-39,23,-63m7394,5804v-103,-26,-204,-6,-302,15c7078,5834,7049,5825,7045,5849v89,24,181,71,281,35c7365,5873,7415,5849,7433,5807hal7394,5804hdxm2022,5893v-5,-29,-29,-47,-59,-50c1946,5849,1922,5855,1916,5875v-15,22,6,36,12,54c1946,5941,1966,5950,1987,5941v23,-9,27,-35,35,-48m2197,5920v-12,-23,-39,-53,-68,-51c2088,5897,2088,5897,2088,5897v-9,20,,41,8,59c2113,5970,2132,5983,2156,5977v23,-12,32,-39,41,-57m7622,5950v-15,-44,-68,-59,-101,-33c7512,5938,7483,5953,7501,5977v9,15,14,38,36,41c7557,6030,7587,6027,7601,6007v12,-18,24,-33,21,-57m7752,5944v-15,-9,-33,-33,-59,-24c7655,5926,7646,5970,7657,6000v9,7,18,31,36,25c7729,6039,7740,6000,7758,5986v-6,-42,-6,-42,-6,-42m2090,6030v-15,-35,-50,-41,-80,-38c1975,6010,1972,6048,1975,6078v12,39,53,39,86,33c2085,6092,2096,6063,2090,6030t169,-12c2185,6102,2072,6170,2011,6260v,15,,15,,15c2058,6304,2105,6260,2153,6251v82,-48,100,-149,106,-233m7157,6087v-14,-21,-38,-45,-65,-41c7078,6051,7061,6061,7054,6078v-9,21,-5,50,15,60c7090,6146,7122,6155,7140,6135v9,-16,30,-30,17,-48m2555,6223v2,-17,-21,-17,-15,-38c2504,6147,2472,6090,2427,6061v-20,5,-20,5,-20,5c2436,6170,2427,6289,2492,6379v33,29,54,86,104,80c2572,6385,2596,6292,2555,6223m7306,6111v-9,-33,-39,-48,-68,-36c7223,6090,7199,6099,7208,6128v18,15,36,24,56,27c7279,6140,7306,6134,7306,6111t351,265c7654,6254,7566,6179,7486,6111v-18,3,-18,3,-18,3c7457,6233,7542,6319,7627,6397v13,,13,,13,c7657,6376,7657,6376,7657,6376t-222,-95c7424,6253,7400,6230,7365,6239v-15,14,-48,30,-44,59c7326,6343,7377,6346,7410,6337v14,-15,29,-33,25,-56m7241,6343v-10,-24,38,-57,-10,-62c7122,6325,7034,6435,7004,6549v6,44,6,44,6,44c7087,6510,7199,6453,7241,6343t221,89c7451,6409,7424,6394,7394,6400v-17,15,-41,23,-38,53c7374,6477,7397,6483,7421,6486v14,-15,41,-27,41,-54m5267,1050v61,,58,103,,103c5221,1153,5148,1050,5234,1050v33,,33,,33,m4916,1153v-46,,-127,-103,-42,-103c4961,1050,4961,1050,4961,1050v46,,126,103,41,103hal4916,1153hdxm4557,1153v-46,,-127,-103,-41,-103c4601,1050,4601,1050,4601,1050v46,,127,103,41,103hal4557,1153hdxm4386,1026v-41,,-74,34,-74,74c4312,1141,4345,1174,4386,1174v876,,876,,876,c5303,1174,5335,1141,5335,1100v,-40,-32,-74,-73,-74hal4386,1026hdxm5269,2385v,-54,52,-36,90,-36c5398,2349,5449,2331,5449,2385v,40,-51,13,-90,13c5321,2398,5269,2425,5269,2385t29,92c5239,2477,5239,2437,5239,2378v,-87,83,-13,113,-94c5393,2380,5474,2279,5474,2380v,45,-4,97,-41,97hal5298,2477hdxm5248,2279v-128,-21,-128,-21,-128,-21c5156,2401,5156,2401,5156,2401v-36,150,-36,150,-36,150c5254,2513,5254,2513,5254,2513v-68,267,-68,267,-68,267c5353,2715,5353,2715,5353,2715v165,65,165,65,165,65c5468,2513,5468,2513,5468,2513v115,32,115,32,115,32c5539,2401,5539,2401,5539,2401v44,-149,44,-149,44,-149c5453,2279,5453,2279,5453,2279v65,-247,65,-247,65,-247c5353,2096,5353,2096,5353,2096v-167,-64,-167,-64,-167,-64hal5248,2279hdxm4820,2375v27,20,27,20,27,20c4847,2364,4847,2364,4847,2364v27,-6,27,-6,27,-6c4853,2335,4853,2335,4853,2335v13,-24,13,-24,13,-24c4837,2313,4837,2313,4837,2313v-17,-30,-17,-30,-17,-30c4803,2313,4803,2313,4803,2313v-29,-2,-29,-2,-29,-2c4787,2335,4787,2335,4787,2335v-22,23,-22,23,-22,23c4793,2364,4793,2364,4793,2364v,31,,31,,31hal4820,2375hdxm4690,2542v26,21,26,21,26,21c4716,2531,4716,2531,4716,2531v28,-5,28,-5,28,-5c4722,2503,4722,2503,4722,2503v14,-25,14,-25,14,-25c4707,2481,4707,2481,4707,2481v-17,-31,-17,-31,-17,-31c4673,2481,4673,2481,4673,2481v-29,-3,-29,-3,-29,-3c4657,2503,4657,2503,4657,2503v-22,23,-22,23,-22,23c4663,2531,4663,2531,4663,2531v,32,,32,,32hal4690,2542hdxm4911,2521v26,20,26,20,26,20c4937,2509,4937,2509,4937,2509v28,-5,28,-5,28,-5c4943,2482,4943,2482,4943,2482v14,-25,14,-25,14,-25c4928,2459,4928,2459,4928,2459v-17,-30,-17,-30,-17,-30c4893,2459,4893,2459,4893,2459v-29,-2,-29,-2,-29,-2c4878,2482,4878,2482,4878,2482v-22,22,-22,22,-22,22c4885,2509,4885,2509,4885,2509v,32,,32,,32hal4911,2521hdxm4925,2655v15,11,15,11,15,11c4940,2649,4940,2649,4940,2649v16,-3,16,-3,16,-3c4944,2633,4944,2633,4944,2633v7,-14,7,-14,7,-14c4935,2620,4935,2620,4935,2620v-10,-17,-10,-17,-10,-17c4915,2620,4915,2620,4915,2620v-16,-1,-16,-1,-16,-1c4907,2633,4907,2633,4907,2633v-13,13,-13,13,-13,13c4910,2649,4910,2649,4910,2649v,17,,17,,17hal4925,2655hdxm4751,2775v45,34,45,34,45,34c4796,2756,4796,2756,4796,2756v48,-10,48,-10,48,-10c4807,2707,4807,2707,4807,2707v23,-42,23,-42,23,-42c4780,2669,4780,2669,4780,2669v-29,-52,-29,-52,-29,-52c4721,2669,4721,2669,4721,2669v-50,-4,-50,-4,-50,-4c4695,2707,4695,2707,4695,2707v-38,39,-38,39,-38,39c4705,2756,4705,2756,4705,2756v,53,,53,,53hal4751,2775hdxm4706,256c4442,179,4442,179,4442,179v133,241,133,241,133,241c4351,580,4351,580,4351,580v271,45,271,45,271,45c4606,901,4606,901,4606,901,4810,716,4810,716,4810,716v204,185,204,185,204,185c4997,625,4997,625,4997,625v271,-45,271,-45,271,-45c5044,420,5044,420,5044,420,5177,179,5177,179,5177,179v-263,77,-263,77,-263,77c4810,,4810,,4810,hal4706,256hdxm3852,5731v-129,31,-129,31,-129,31c3727,5774,3727,5774,3727,5774v51,-10,62,5,69,35c3831,5959,3831,5959,3831,5959v8,31,24,107,-79,132c3668,6111,3652,6043,3645,6015v-39,-165,-39,-165,-39,-165c3596,5807,3614,5803,3652,5792v-3,-13,-3,-13,-3,-13c3451,5827,3451,5827,3451,5827v3,12,3,12,3,12c3487,5835,3503,5831,3513,5873v38,164,38,164,38,164c3565,6091,3583,6104,3613,6117v45,19,101,8,126,2c3775,6111,3823,6089,3847,6056v19,-29,17,-74,10,-103c3820,5796,3820,5796,3820,5796v-8,-32,4,-42,35,-53hal3852,5731hdxm4166,5772v-24,-107,-24,-107,-24,-107c4125,5669,4125,5669,4125,5669v-16,21,-16,21,-16,21c4092,5694,4061,5683,4013,5694v-111,25,-115,96,-108,126c3910,5843,3919,5886,4029,5904v42,6,42,6,42,6c4113,5918,4144,5923,4150,5956v3,7,10,56,-60,72c4015,6044,3968,5997,3946,5949v-17,4,-17,4,-17,4c3956,6075,3956,6075,3956,6075v17,-4,17,-4,17,-4c3987,6050,3987,6050,3987,6050v17,-4,48,7,104,-5c4199,6021,4223,5953,4214,5909v-12,-54,-63,-73,-85,-76c4035,5816,4035,5816,4035,5816v-54,-10,-68,-19,-74,-45c3954,5739,3983,5717,4014,5710v69,-15,117,33,135,66hal4166,5772hdxm4538,5958v-44,2,-59,2,-63,-40c4450,5652,4450,5652,4450,5652v41,-3,104,-6,123,74c4590,5724,4590,5724,4590,5724v-10,-101,-10,-101,-10,-101c4219,5658,4219,5658,4219,5658v8,100,8,100,8,100c4245,5757,4245,5757,4245,5757v4,-81,66,-90,108,-96c4378,5927,4378,5927,4378,5927v4,41,-10,45,-54,51c4325,5991,4325,5991,4325,5991v215,-21,215,-21,215,-21hal4538,5958hdxm4783,5661v3,-15,4,-21,37,-20c4869,5642,4893,5664,4892,5715v-2,66,-33,77,-112,76hal4783,5661hdxm5041,5958v-24,-10,-24,-10,-24,-10c4898,5801,4898,5801,4898,5801v33,-8,95,-22,97,-84c4996,5631,4869,5624,4826,5624v-194,-4,-194,-4,-194,-4c4632,5633,4632,5633,4632,5633v34,2,53,4,53,47c4680,5904,4680,5904,4680,5904v-1,42,-13,43,-54,46c4626,5963,4626,5963,4626,5963v203,3,203,3,203,3c4830,5954,4830,5954,4830,5954v-40,-6,-53,-7,-53,-48c4780,5807,4780,5807,4780,5807v15,,15,,15,c4917,5968,4917,5968,4917,5968v124,2,124,2,124,2hal5041,5958hdxm5152,5865v72,-114,72,-114,72,-114c5269,5880,5269,5880,5269,5880hal5152,5865hdxm5438,6009v-29,-2,-36,-21,-56,-78c5281,5651,5281,5651,5281,5651v-17,-3,-17,-3,-17,-3c5097,5907,5097,5907,5097,5907v-22,35,-33,51,-66,51c5030,5970,5030,5970,5030,5970v121,16,121,16,121,16c5153,5973,5153,5973,5153,5973v-20,-4,-49,-8,-47,-27c5107,5938,5120,5918,5141,5884v134,17,134,17,134,17c5282,5918,5297,5957,5294,5971v-2,16,-12,16,-49,14c5243,5997,5243,5997,5243,5997v194,24,194,24,194,24hal5438,6009hdxm5832,5985v-17,-4,-17,-4,-17,-4c5778,6032,5737,6068,5648,6051v-41,-7,-52,-13,-48,-38c5643,5779,5643,5779,5643,5779v7,-44,26,-41,67,-35c5713,5732,5713,5732,5713,5732v-207,-39,-207,-39,-207,-39c5503,5706,5503,5706,5503,5706v27,6,51,11,45,45c5504,5992,5504,5992,5504,5992v-5,30,-23,28,-57,25c5445,6031,5445,6031,5445,6031v343,62,343,62,343,62hal5832,5985hdxm6018,6132v-33,-9,-56,-16,-50,-47c6018,5845,6018,5845,6018,5845v7,-34,36,-28,64,-23c6084,5809,6084,5809,6084,5809v-206,-43,-206,-43,-206,-43c5875,5778,5875,5778,5875,5778v27,7,55,14,48,47c5874,6064,5874,6064,5874,6064v-7,31,-31,28,-62,24c5809,6101,5809,6101,5809,6101v206,43,206,43,206,43hal6018,6132hdxm6146,6048v69,-117,69,-117,69,-117c6264,6060,6264,6060,6264,6060hal6146,6048hdxm6436,6185v-29,-2,-37,-20,-59,-77c6270,5830,6270,5830,6270,5830v-16,-2,-16,-2,-16,-2c6093,6090,6093,6090,6093,6090v-22,36,-32,53,-65,53c6026,6155,6026,6155,6026,6155v122,13,122,13,122,13c6150,6155,6150,6155,6150,6155v-21,-3,-50,-7,-47,-27c6103,6121,6115,6101,6136,6066v134,14,134,14,134,14c6277,6097,6293,6137,6291,6150v-1,17,-13,16,-50,15c6240,6178,6240,6178,6240,6178v194,20,194,20,194,20hal6436,6185hdxm4787,2137v35,,84,25,84,-17c4871,2060,4815,2073,4780,2073v-36,,-76,-13,-76,47c4704,2162,4752,2137,4787,2137t106,-23c4893,2142,4882,2163,4867,2176v,39,,39,,39c4850,2232,4850,2232,4850,2232v-129,,-129,,-129,c4704,2215,4704,2215,4704,2215v,-36,,-36,,-36c4687,2168,4678,2147,4678,2111v,-94,81,-20,109,-108c4825,2107,4893,1993,4893,2114m5950,3606v31,,56,-22,56,-49c6006,3530,5981,3507,5950,3507v-30,,-55,23,-55,50c5895,3584,5920,3606,5950,3606m5688,1805v-26,53,-26,53,-26,53c5662,1874,5674,1887,5689,1887v14,,27,-13,27,-29hal5688,1805hdxm3903,1805v-27,53,-27,53,-27,53c3876,1874,3888,1887,3903,1887v15,,27,-13,27,-29hal3903,1805hdxm4349,1805v-26,53,-26,53,-26,53c4323,1874,4335,1887,4350,1887v14,,26,-13,26,-29hal4349,1805hdxm4795,1805v-25,53,-25,53,-25,53c4770,1874,4781,1887,4796,1887v14,,26,-13,26,-29hal4795,1805hdxm5242,1805v-26,53,-26,53,-26,53c5216,1874,5228,1887,5242,1887v15,,27,-13,27,-29hal5242,1805hdxm3876,2471v,15,13,29,27,29c3918,2500,3930,2486,3930,2471v-27,-53,-27,-53,-27,-53hal3876,2471hdxm3876,3066v27,29,27,29,27,29c3930,3066,3930,3066,3930,3066v-27,-52,-27,-52,-27,-52hal3876,3066hdxm3948,3538v,16,12,29,27,29c3989,3567,4001,3554,4001,3538v-26,-53,-26,-53,-26,-53hal3948,3538hdxm4322,3788v,16,12,29,27,29c4364,3817,4376,3804,4376,3788v-27,-53,-27,-53,-27,-53hal4322,3788hdxm5711,2418v-26,53,-26,53,-26,53c5685,2486,5697,2500,5711,2500v15,,27,-14,27,-29hal5711,2418hdxm5711,3014v-26,52,-26,52,-26,52c5711,3095,5711,3095,5711,3095v27,-29,27,-29,27,-29hal5711,3014hdxm5640,3485v-26,53,-26,53,-26,53c5614,3554,5625,3567,5640,3567v14,,27,-13,27,-29hal5640,3485hdxm5265,3735v-26,53,-26,53,-26,53c5239,3804,5251,3817,5266,3817v14,,26,-13,26,-29hal5265,3735hdxm4810,4001v-26,53,-26,53,-26,53c4784,4070,4795,4083,4810,4083v15,,26,-13,26,-29hal4810,4001hdxm5536,3113v5,9,19,11,37,5c5590,3070,5590,3070,5590,3070v-32,-19,-32,-19,-32,-19c5510,3062,5460,3068,5432,3113v,31,22,59,45,74c5494,3181,5496,3198,5508,3206v-20,26,-20,26,-20,26c5454,3198,5395,3243,5370,3201v12,-43,34,-91,-3,-131c5376,3045,5376,3045,5376,3045v-14,-39,-57,-9,-81,-9c5253,3031,5219,3054,5193,3088v22,42,22,42,22,42c5235,3141,5235,3141,5235,3141v-27,17,-27,17,-27,17c5219,3190,5219,3190,5219,3190v-20,8,-40,-20,-48,-34c5171,3133,5174,3093,5143,3088v-25,7,-25,7,-25,7c5111,3105,5106,3122,5106,3142v,21,12,51,12,51c5118,3193,5204,3258,5224,3296v-25,52,-25,123,-84,151c5123,3458,5123,3475,5123,3492v14,11,14,11,14,11c5174,3483,5243,3478,5238,3416v15,-26,28,-54,53,-74c5319,3337,5345,3351,5356,3373v-9,43,-37,71,-76,85c5278,3481,5278,3481,5278,3481v11,20,41,11,59,8c5384,3458,5404,3402,5446,3384v6,29,-56,38,-17,65c5454,3444,5488,3453,5505,3419v-20,-48,67,-71,14,-114c5519,3263,5564,3246,5561,3201v-17,-45,-70,-45,-84,-88c5494,3102,5519,3105,5536,3113m3484,3628v31,,56,-22,56,-50c3540,3551,3515,3530,3484,3530v-30,,-55,21,-55,48c3429,3606,3454,3628,3484,3628m589,5319v30,,55,-23,55,-53c644,5237,619,5214,589,5214v-31,,-55,23,-55,52c534,5296,558,5319,589,5319t1835,402c2425,5721,2425,5721,2425,5721v2,1,2,1,2,1c2424,5725,2424,5725,2424,5725hal2424,5721hdxm2432,5730v-1,-1,-1,-1,-1,-1c2427,5725,2427,5725,2427,5725v3,-3,3,-3,3,-3c2425,5720,2425,5720,2425,5720v-5,,-5,,-5,c2420,5721,2420,5721,2420,5721v1,1,1,1,1,1c2421,5729,2421,5729,2421,5729v-1,1,-1,1,-1,1c2420,5730,2420,5730,2420,5730v5,,5,,5,c2425,5730,2425,5730,2425,5730v-1,-1,-1,-1,-1,-1c2424,5725,2424,5725,2424,5725v4,5,4,5,4,5c2432,5730,2432,5730,2432,5730xm2440,5723v,-3,,-3,,-3c2439,5720,2439,5720,2439,5720v-1,,-1,,-1,c2436,5720,2436,5720,2436,5720v-4,2,-4,2,-4,2c2435,5726,2435,5726,2435,5726v1,,1,,1,c2438,5728,2438,5728,2438,5728v-2,2,-2,2,-2,2c2433,5726,2433,5726,2433,5726v-1,,-1,,-1,c2432,5731,2432,5731,2432,5731v1,,1,,1,c2433,5730,2433,5730,2433,5730v3,1,3,1,3,1c2440,5728,2440,5728,2440,5728v-2,-4,-2,-4,-2,-4c2436,5723,2436,5723,2436,5723v-2,-1,-2,-1,-2,-1c2436,5720,2436,5720,2436,5720v3,3,3,3,3,3hal2440,5723hdxm2458,5720v-3,,-3,,-3,c2455,5721,2455,5721,2455,5721v1,,1,,1,c2456,5722,2456,5722,2456,5722v-2,5,-2,5,-2,5c2452,5722,2452,5722,2452,5722v,-1,,-1,,-1c2453,5721,2453,5721,2453,5721v,-1,,-1,,-1c2448,5720,2448,5720,2448,5720v,1,,1,,1c2449,5721,2449,5721,2449,5721v,1,,1,,1c2448,5727,2448,5727,2448,5727v-3,-5,-3,-5,-3,-5c2445,5721,2445,5721,2445,5721v1,,1,,1,c2446,5720,2446,5720,2446,5720v-5,,-5,,-5,c2441,5721,2441,5721,2441,5721v1,,1,,1,c2446,5730,2446,5730,2446,5730v,,,,,c2449,5723,2449,5723,2449,5723v3,7,3,7,3,7c2453,5730,2453,5730,2453,5730v4,-9,4,-9,4,-9c2458,5721,2458,5721,2458,5721hal2458,5720hdxm2461,5722v1,-2,1,-2,1,-2c2463,5724,2463,5724,2463,5724v,1,,1,,1c2462,5726,2462,5726,2462,5726hal2461,5722hdxm2458,5730v8,-6,8,-6,8,-6c2462,5720,2462,5720,2462,5720v-4,3,-4,3,-4,3c2462,5727,2462,5727,2462,5727v,,,,,c2463,5726,2463,5726,2463,5726v-5,4,-5,4,-5,4xm2469,5722v4,,4,,4,c2475,5720,2475,5720,2475,5720v-6,,-6,,-6,c2467,5725,2467,5725,2467,5725v4,1,4,1,4,1c2473,5728,2473,5728,2473,5728v-2,1,-2,1,-2,1c2468,5728,2468,5728,2468,5728v-2,1,-2,1,-2,1c2469,5730,2469,5730,2469,5730v5,-4,5,-4,5,-4c2472,5724,2472,5724,2472,5724v-3,-1,-3,-1,-3,-1hal2469,5722hdxm5779,1790v-1945,,-1945,,-1945,c3834,3330,3834,3330,3834,3330v11,119,52,218,134,275c4743,4098,4743,4098,4743,4098v17,13,38,21,61,21c4827,4119,4848,4111,4864,4098v5,,5,,5,c5645,3605,5645,3605,5645,3605v82,-57,123,-156,134,-275hal5779,1790hdxm5835,3309v,161,-67,301,-161,345c4869,4164,4869,4164,4869,4164v-17,15,-40,25,-65,25c4776,4189,4749,4176,4732,4157,3940,3654,3940,3654,3940,3654v-94,-44,-162,-184,-162,-345c3776,1735,3776,1735,3776,1735v1,,1,,1,c3777,1733,3777,1733,3777,1733v2060,,2060,,2060,c5837,1735,5837,1735,5837,1735hal5835,3309hdxm5084,4030v25,-13,25,-13,25,-13hal5084,4030hdxm3216,6098v43,-130,43,-130,43,-130c3333,6084,3333,6084,3333,6084hal3216,6098hdxm3528,6169v-28,4,-40,-11,-73,-62c3290,5858,3290,5858,3290,5858v-16,2,-16,2,-16,2c3173,6151,3173,6151,3173,6151v-14,39,-20,57,-52,66c3122,6229,3122,6229,3122,6229v122,-14,122,-14,122,-14c3242,6203,3242,6203,3242,6203v-20,1,-49,3,-51,-17c3190,6179,3197,6156,3210,6118v134,-16,134,-16,134,-16c3380,6167,3380,6167,3380,6167v2,16,-9,18,-46,24c3336,6204,3336,6204,3336,6204v194,-22,194,-22,194,-22hal3528,6169hdxm6865,5557v9,-53,21,-128,-24,-170c6827,5352,6782,5334,6744,5325v-48,-27,-125,-30,-172,-7c6511,5348,6484,5411,6481,5473v17,43,20,96,79,96c6572,5471,6572,5471,6572,5471v9,-27,-3,-57,24,-75c6667,5381,6744,5399,6782,5456v24,80,-41,130,-44,202c6797,5649,6839,5610,6865,5557t-239,29c6649,5601,6673,5578,6687,5566v25,-18,21,-54,21,-77c6616,5366,6658,5554,6626,5586t32,75c6614,5640,6560,5640,6514,5631v,24,-6,60,8,84c6593,5715,6593,5715,6593,5715v23,-18,68,-6,65,-54m6741,6025v15,-105,59,-203,59,-310c6545,5831,6247,5756,5981,5715v-29,-6,-62,-6,-88,-15c5724,5688,5570,5644,5404,5622v-79,-5,-150,-27,-233,-29c4917,5548,4645,5563,4379,5566v-234,18,-462,56,-683,104c3465,5711,3243,5792,2995,5744v-47,-11,-92,-44,-136,-51c2856,5718,2862,5748,2871,5771v3,72,29,131,24,206c2927,6072,2883,6209,2989,6260v130,41,278,21,414,3c3621,6199,3843,6146,4071,6105v485,-110,1041,-80,1517,23c5928,6188,6274,6307,6626,6230v38,-21,82,-48,82,-102c6738,6102,6717,6054,6741,6025m5239,6242v-50,-108,-162,-7,-210,39c4976,6313,5053,6352,5044,6390v12,31,12,31,12,31c5077,6435,5097,6445,5124,6441v53,-12,112,-12,142,-68c5280,6322,5254,6284,5239,6242t68,146c5278,6459,5200,6486,5130,6489v32,12,82,6,115,-12c5307,6453,5343,6397,5345,6331v-2,-30,-5,-68,-41,-77hal5307,6388hdxm5381,6650v-71,-39,-136,-89,-216,-96c5168,6569,5168,6569,5168,6569v65,45,122,96,207,93c5381,6650,5381,6650,5381,6650t-109,274c5200,6810,5144,6682,5073,6567v-11,2,-11,2,-11,2c5118,6695,5159,6814,5248,6927v24,-3,24,-3,24,-3m5124,6852v11,-21,-3,-42,-21,-57c5100,6814,5094,6846,5109,6858v15,-6,15,-6,15,-6m5041,6674v-9,29,9,57,15,68c5073,6715,5044,6703,5041,6674t-18,-188c5029,6486,5029,6486,5029,6486v,-9,,-9,,-9c5023,6477,5023,6477,5023,6477hal5023,6486hdxm4852,6915v71,-31,189,39,212,-60c5059,6793,5008,6855,4976,6846v-68,-15,-139,-3,-207,-6c4725,6882,4683,6825,4636,6843v-3,24,23,36,20,60c4710,6950,4795,6918,4852,6915m4722,6561v-27,62,-101,119,-83,190c4677,6682,4713,6607,4736,6536v-14,25,-14,25,-14,25m4804,6503v-47,84,-76,192,-109,287c4713,6822,4769,6814,4801,6816v63,-38,151,9,207,-41c5053,6686,4938,6625,4894,6561v-15,-33,-51,-99,-90,-58m4801,6373v-17,17,-17,17,-17,17c4795,6390,4795,6390,4795,6390hal4801,6373hdxm4864,6397v21,-7,35,-21,53,-36c4911,6352,4911,6352,4911,6352v-21,,-35,27,-47,45m4931,6441v-26,,-26,,-26,hal4931,6441hdxm4985,6534v-18,-24,-41,-39,-74,-33c4979,6554,4979,6554,4979,6554v6,-20,6,-20,6,-20m4979,6352v-3,,-3,,-3,c4976,6361,4976,6361,4976,6361v3,,3,,3,hal4979,6352hdxm5103,6167v-36,-2,-80,30,-97,63c5041,6221,5067,6179,5103,6167t-148,-39c4979,6221,5038,6111,5085,6117v-91,-6,-91,-6,-91,-6c4982,6122,4949,6102,4955,6128t-216,84c4725,6254,4730,6284,4769,6316v29,27,68,,95,-12c4944,6254,4870,6173,4864,6114v-24,-12,-51,-12,-80,-12c4757,6134,4754,6170,4739,6212t-44,185c4713,6400,4730,6390,4739,6376v-35,-21,-35,-21,-35,-21c4695,6397,4695,6397,4695,6397t-3,-170c4689,6227,4689,6227,4689,6227v,33,,33,,33c4692,6260,4692,6260,4692,6260hal4692,6227hdxm4656,6170v3,-18,27,-36,12,-56c4627,6107,4592,6105,4556,6117v42,,62,44,100,53m4624,6412v27,-33,44,-87,47,-126c4651,6322,4633,6373,4624,6412t-65,c4601,6364,4624,6307,4633,6242v-57,-60,-174,-27,-216,39c4417,6313,4387,6346,4417,6376v44,14,92,29,142,36m4580,6492v12,-3,12,-3,12,-3c4580,6489,4580,6489,4580,6489v,3,,3,,3c4580,6503,4580,6503,4580,6503v6,,6,,6,c4586,6492,4586,6492,4586,6492hal4580,6492hdxm4512,6665v,-24,35,-36,17,-54c4459,6689,4441,6775,4379,6855v-18,36,-60,69,-60,110c4337,6962,4361,6960,4367,6944v56,-92,104,-184,145,-279m4231,6635v77,-3,168,-21,224,-66c4376,6542,4302,6605,4231,6635t106,-206c4385,6468,4447,6480,4497,6510v27,-36,27,-36,27,-36c4482,6429,4409,6453,4376,6397v-18,-33,-6,-54,-9,-93c4385,6206,4482,6188,4559,6167v-38,-24,-86,-15,-127,-6c4364,6235,4322,6325,4337,6429m2951,5473v12,37,32,60,74,57c3033,5497,3036,5462,3040,5426v-4,-24,-36,-24,-57,-18c2951,5414,2960,5450,2951,5473t9,101c2954,5597,2968,5627,2963,5648v26,48,91,42,141,53c3128,5675,3128,5633,3119,5600v-53,-8,-115,6,-159,-26m2820,5489v-8,68,39,110,75,148c2903,5626,2903,5626,2903,5626v-11,-37,6,-81,-14,-114c2871,5462,2898,5417,2927,5381v38,-21,83,-44,133,-29c3084,5366,3113,5369,3116,5405v-18,39,-18,86,-18,134c3128,5539,3128,5539,3128,5539v35,-29,60,-83,44,-134c3161,5378,3146,5360,3125,5348v-65,-38,-162,-47,-233,-8c2841,5378,2829,5435,2820,5489m5571,6763v68,71,174,89,266,125c5829,6831,5901,6870,5910,6829v-102,-12,-245,-43,-315,-75hal5571,6763hdxm3749,6801v104,-23,219,-32,308,-103c3970,6680,3882,6709,3805,6733v-32,18,-77,3,-97,29c3749,6801,3749,6801,3749,6801m6942,5444v15,164,-83,300,-118,449c6809,5986,6791,6078,6776,6170v-80,158,-283,149,-446,149c6034,6313,5771,6206,5488,6167v-104,-21,-205,-47,-320,-41c5159,6134,5159,6134,5159,6134v68,51,186,39,213,131c5399,6313,5389,6382,5363,6423v-20,45,-71,69,-103,99c5402,6581,5499,6742,5677,6742v35,12,68,27,103,33c5808,6790,5914,6798,5956,6821v34,22,34,22,34,22c5969,6873,5907,6852,5916,6891v18,9,32,18,44,33c5940,6950,5896,6927,5866,6924v-77,-30,-160,-36,-234,-72c5582,6819,5523,6790,5484,6739v-47,-30,-109,-27,-159,-47c5266,6682,5218,6647,5165,6629v6,41,33,69,47,110c5245,6795,5290,6846,5325,6909v18,29,53,59,56,92c5331,7037,5278,6986,5227,6971v-29,-29,-38,-92,-92,-83c5047,7001,4899,6906,4784,6965v-48,-3,-101,6,-136,-23c4574,6873,4580,6766,4603,6682v45,-75,83,-140,142,-208c4733,6456,4716,6474,4704,6480v-74,69,-148,122,-169,223c4485,6814,4429,6915,4367,7022v-33,18,-74,30,-116,18c4234,7034,4219,7013,4231,6992v71,-104,142,-217,210,-327c4441,6647,4441,6647,4441,6647v-83,6,-163,35,-251,35c4128,6701,4089,6742,4027,6760v-44,35,-101,39,-151,59c3820,6822,3770,6840,3711,6840v-18,21,-56,6,-74,27c3619,6864,3616,6861,3619,6843v21,-14,48,-18,56,-44c3669,6760,3604,6771,3607,6733v178,-21,337,-92,526,-86c4219,6611,4284,6549,4376,6522v-30,-45,-127,-57,-92,-138c4311,6286,4346,6197,4409,6117v-142,3,-288,26,-420,56c3947,6173,3917,6194,3879,6197v-248,63,-491,143,-763,152c3031,6340,2942,6322,2889,6251v-48,-69,-21,-173,-33,-251c2841,5989,2829,5992,2812,5997v-142,7,-305,15,-432,-53c2398,5902,2463,5926,2498,5908v115,-33,239,3,334,69c2880,5938,2826,5884,2832,5836v-26,-145,-112,-300,-44,-449c2836,5310,2924,5253,3025,5265v88,-12,165,53,204,122c3273,5506,3131,5580,3178,5703v33,2,33,2,33,2c3308,5682,3308,5682,3308,5682v51,15,95,-24,148,-15c3530,5640,3613,5634,3687,5610v346,-88,716,-110,1085,-121c4891,5501,4891,5501,4891,5501v93,20,191,15,289,32c5605,5578,6005,5685,6434,5724v23,-13,20,-31,20,-54c6451,5554,6377,5411,6484,5325v61,-72,162,-87,257,-66c6833,5289,6907,5352,6942,5444e" fillcolor="black" stroked="f">
            <v:path arrowok="t"/>
            <o:lock v:ext="edit" aspectratio="t" verticies="t"/>
          </v:shape>
          <v:shape id="_x0000_s2051" style="position:absolute;left:-17209;top:9769;width:40176;height:2953;visibility:visible" coordsize="17008,1250" path="m706,818hdc528,406,528,406,528,406,345,818,345,818,345,818hal706,818hdxm736,882v-422,,-422,,-422,c264,999,264,999,264,999v-17,39,-25,70,-25,95c239,1128,253,1153,280,1168v16,10,55,17,117,22c397,1222,397,1222,397,1222,,1222,,1222,,1222v,-32,,-32,,-32c43,1183,78,1165,105,1137v28,-30,62,-90,103,-181c635,3,635,3,635,3v17,,17,,17,c1082,983,1082,983,1082,983v41,92,75,151,101,175c1203,1176,1232,1186,1268,1190v,32,,32,,32c690,1222,690,1222,690,1222v,-32,,-32,,-32c714,1190,714,1190,714,1190v47,,79,-7,98,-20c825,1161,831,1148,831,1129v-5,-32,-5,-32,-5,-32c825,1092,816,1070,799,1031hal736,882hdxm2000,399v,644,,644,,644c2000,1106,2005,1145,2017,1162v12,14,36,24,71,28c2088,1222,2088,1222,2088,1222v-335,,-335,,-335,c1753,1112,1753,1112,1753,1112v-39,47,-78,81,-118,103c1596,1236,1552,1247,1503,1247v-46,,-88,-14,-124,-42c1343,1176,1319,1142,1307,1104v-13,-38,-18,-105,-18,-200c1289,578,1289,578,1289,578v,-62,-7,-102,-18,-117c1260,446,1235,436,1199,431v,-32,,-32,,-32c1535,399,1535,399,1535,399v,563,,563,,563c1535,1020,1538,1058,1543,1075v5,17,14,30,26,39c1581,1122,1596,1127,1611,1127v21,,41,-5,58,-16c1692,1095,1721,1064,1753,1018v,-440,,-440,,-440c1753,516,1747,476,1735,461v-10,-15,-34,-25,-71,-30c1664,399,1664,399,1664,399hal2000,399hdxm2665,376v13,281,13,281,13,281c2648,657,2648,657,2648,657,2612,573,2575,516,2537,487v-39,-32,-77,-47,-115,-47c2398,440,2377,448,2360,465v-17,16,-25,34,-25,55c2335,536,2340,551,2352,566v19,24,72,66,158,124c2596,748,2653,798,2680,839v27,41,41,86,41,136c2721,1021,2710,1066,2687,1111v-23,44,-55,77,-97,101c2548,1235,2502,1247,2452,1247v-40,,-92,-13,-158,-37c2277,1203,2265,1200,2258,1200v-19,,-35,15,-48,44c2180,1244,2180,1244,2180,1244,2167,948,2167,948,2167,948v30,,30,,30,c2223,1026,2259,1084,2305,1123v46,38,90,57,131,57c2464,1180,2487,1173,2505,1155v18,-17,27,-38,27,-63c2532,1064,2523,1039,2506,1019v-18,-21,-57,-52,-119,-94c2298,863,2239,816,2213,783v-39,-48,-58,-102,-58,-160c2155,560,2177,503,2220,451v44,-51,107,-77,190,-77c2455,374,2498,385,2540,407v38,13,38,13,38,13c2604,414,2604,414,2604,414v7,-5,17,-18,31,-38hal2665,376hdxm3101,98v,301,,301,,301c3296,399,3296,399,3296,399v,88,,88,,88c3101,487,3101,487,3101,487v,507,,507,,507c3101,1042,3103,1072,3107,1087v24,33,24,33,24,33c3161,1132,3161,1132,3161,1132v39,,75,-28,109,-87c3296,1065,3296,1065,3296,1065v-47,112,-125,168,-231,168c3012,1233,2968,1219,2932,1190v-36,-29,-59,-62,-69,-97c2857,1073,2854,1019,2854,931v,-444,,-444,,-444c2747,487,2747,487,2747,487v,-32,,-32,,-32c2821,403,2884,348,2935,290v52,-57,98,-121,137,-192hal3101,98hdxm3698,399v,187,,187,,187c3753,500,3800,444,3842,416v41,-28,80,-42,119,-42c3993,374,4020,385,4039,406v20,19,30,47,30,84c4069,529,4059,560,4040,582v-19,22,-42,33,-68,33c3940,615,3913,605,3890,585v-23,-20,-36,-32,-40,-34c3829,546,3829,546,3829,546v-17,,-33,6,-48,19c3757,585,3739,614,3726,650v-18,57,-28,120,-28,189c3698,1029,3698,1029,3698,1029v1,49,1,49,1,49c3699,1111,3701,1133,3705,1142v31,35,31,35,31,35c3750,1184,3774,1188,3807,1190v,32,,32,,32c3362,1222,3362,1222,3362,1222v,-32,,-32,,-32c3397,1188,3421,1178,3434,1162v13,-18,20,-62,20,-133c3454,573,3454,573,3454,573v,-47,-3,-77,-8,-90c3440,467,3432,455,3421,447v-11,-8,-31,-12,-59,-16c3362,399,3362,399,3362,399hal3698,399hdxm4521,1037v,-276,,-276,,-276c4450,802,4397,847,4362,895v-22,31,-34,64,-34,96c4328,1018,4338,1041,4358,1062v14,16,34,24,61,24c4448,1086,4483,1069,4521,1037t,63c4421,1190,4331,1233,4251,1233v-47,,-86,-15,-117,-45c4103,1157,4087,1118,4087,1072v,-63,27,-120,81,-169c4222,852,4339,785,4521,702v,-83,,-83,,-83c4521,557,4518,518,4511,502v-7,-16,-19,-31,-38,-43c4454,447,4433,441,4410,441v-39,,-70,8,-95,25c4293,503,4293,503,4293,503v,13,7,28,24,47c4339,575,4351,599,4351,623v,28,-12,53,-33,73c4296,716,4269,726,4234,726v-37,,-68,-11,-93,-33c4116,670,4104,645,4104,615v,-43,17,-83,50,-121c4187,455,4234,426,4294,405v60,-20,123,-31,187,-31c4559,374,4620,391,4666,424v45,34,75,69,88,108c4763,556,4767,613,4767,702v,319,,319,,319c4767,1059,4768,1083,4771,1092v14,22,14,22,14,22c4805,1121,4805,1121,4805,1121v15,,31,-11,47,-32c4878,1109,4878,1109,4878,1109v-30,44,-60,76,-92,95c4755,1224,4720,1233,4680,1233v-47,,-84,-10,-111,-32c4543,1179,4527,1145,4521,1100m5236,28v,1023,,1023,,1023c5236,1110,5243,1147,5257,1163v13,16,40,25,79,27c5336,1222,5336,1222,5336,1222v-445,,-445,,-445,c4891,1190,4891,1190,4891,1190v37,,64,-11,82,-31c4984,1145,4990,1110,4990,1051v,-852,,-852,,-852c4990,142,4983,105,4970,89,4956,72,4930,63,4891,61v,-33,,-33,,-33hal5236,28hdxm5737,399v,652,,652,,652c5737,1110,5743,1147,5757,1163v14,16,40,25,79,27c5836,1222,5836,1222,5836,1222v-444,,-444,,-444,c5392,1190,5392,1190,5392,1190v36,,63,-11,80,-31c5484,1145,5490,1110,5490,1051v,-481,,-481,,-481c5490,512,5483,475,5470,460v-14,-17,-39,-26,-78,-29c5392,399,5392,399,5392,399hal5737,399hdxm5614,v38,,70,14,96,40c5737,67,5750,98,5750,136v,38,-13,70,-41,96c5683,259,5651,272,5614,272v-38,,-70,-13,-97,-40c5491,206,5478,174,5478,136v,-38,13,-69,39,-96c5544,14,5576,,5614,t703,1037c6317,761,6317,761,6317,761v-71,41,-124,86,-159,134c6136,926,6124,959,6124,991v,27,9,50,29,71c6168,1078,6188,1086,6214,1086v30,,64,-17,103,-49m6317,1100v-101,90,-190,133,-270,133c5999,1233,5960,1218,5929,1188v-31,-31,-46,-70,-46,-116c5883,1009,5910,952,5964,903v54,-51,172,-118,353,-201c6317,619,6317,619,6317,619v,-62,-4,-101,-11,-117c6299,486,6287,471,6269,459v-20,-12,-40,-18,-64,-18c6166,441,6136,449,6111,466v-23,37,-23,37,-23,37c6088,516,6096,531,6113,550v22,25,33,49,33,73c6146,651,6135,676,6113,696v-21,20,-49,30,-83,30c5993,726,5962,715,5936,693v-24,-23,-37,-48,-37,-78c5899,572,5916,532,5950,494v33,-39,80,-68,140,-89c6149,385,6212,374,6276,374v78,,140,17,185,50c6507,458,6537,493,6550,532v9,24,12,81,12,170c6562,1021,6562,1021,6562,1021v,38,2,62,4,71c6580,1114,6580,1114,6580,1114v20,7,20,7,20,7c6615,1121,6631,1110,6647,1089v26,20,26,20,26,20c6644,1153,6614,1185,6582,1204v-31,20,-66,29,-107,29c6428,1233,6391,1223,6365,1201v-26,-22,-42,-56,-48,-101m7028,399v,106,,106,,106c7070,460,7111,427,7150,406v39,-21,80,-32,125,-32c7328,374,7373,390,7408,419v35,29,59,67,70,110c7488,563,7492,627,7492,722v,320,,320,,320c7492,1106,7498,1145,7509,1162v12,14,36,24,72,28c7581,1222,7581,1222,7581,1222v-416,,-416,,-416,c7165,1190,7165,1190,7165,1190v31,-4,53,-17,67,-38c7241,1137,7246,1100,7246,1042v,-365,,-365,,-365c7246,608,7243,566,7238,549v-5,-18,-15,-32,-27,-41c7169,493,7169,493,7169,493v-50,,-98,36,-141,108c7028,1042,7028,1042,7028,1042v,62,6,101,17,117c7057,1176,7078,1186,7110,1190v,32,,32,,32c6693,1222,6693,1222,6693,1222v,-32,,-32,,-32c6727,1187,6752,1176,6767,1157v10,-13,15,-51,15,-115c6782,578,6782,578,6782,578v,-62,-6,-102,-18,-117c6753,446,6729,436,6693,431v,-32,,-32,,-32hal7028,399hdxm9203,1v,420,,420,,420c9171,421,9171,421,9171,421,9131,307,9072,220,8994,159,8914,100,8829,69,8735,69v-89,,-163,26,-222,76c8453,195,8411,265,8387,355v-25,89,-37,181,-37,276c8350,746,8363,846,8390,932v27,87,71,150,130,190c8581,1163,8653,1184,8735,1184v29,,59,-4,89,-9c8854,1168,8885,1159,8916,1148v,-249,,-249,,-249c8916,852,8913,822,8907,809v-7,-14,-20,-27,-40,-38c8846,759,8822,754,8794,754v-32,,-32,,-32,c8762,721,8762,721,8762,721v581,,581,,581,c9343,754,9343,754,9343,754v-45,2,-75,9,-93,19c9233,781,9220,796,9211,818v-6,10,-8,38,-8,81c9203,1148,9203,1148,9203,1148v-77,34,-156,59,-239,76c8882,1241,8797,1250,8709,1250v-114,,-208,-15,-284,-45c8350,1173,8285,1133,8227,1083,8170,1033,8126,976,8093,913v-41,-81,-61,-172,-61,-272c8032,461,8095,310,8221,186,8347,62,8506,,8698,v59,,112,5,159,14c8884,19,8925,32,8983,55v57,21,92,32,103,32c9102,87,9118,81,9132,69v13,-12,26,-35,39,-68hal9203,1hdxm9778,437v-30,,-56,11,-77,34c9679,493,9665,538,9658,605v-6,66,-10,159,-10,278c9648,945,9653,1004,9661,1058v6,42,20,74,41,95c9723,1175,9748,1186,9774,1186v27,,49,-7,66,-22c9863,1144,9879,1116,9886,1081v12,-57,18,-169,18,-339c9904,642,9898,574,9887,537v-11,-37,-27,-64,-49,-82c9822,443,9803,437,9778,437t-4,-63c9846,374,9913,393,9974,430v62,36,109,89,140,157c10147,655,10163,730,10163,811v,116,-30,214,-89,294c10002,1199,9903,1247,9777,1247v-124,,-219,-44,-286,-130c9424,1030,9390,929,9390,814v,-118,35,-220,103,-308c9561,418,9655,374,9774,374t777,873c10274,609,10274,609,10274,609v-33,-77,-60,-126,-79,-147c10182,447,10162,437,10136,431v,-32,,-32,,-32c10574,399,10574,399,10574,399v,32,,32,,32c10546,431,10526,436,10517,447v-14,13,-21,27,-21,45c10496,514,10509,555,10534,615v136,309,136,309,136,309c10778,657,10778,657,10778,657v32,-76,47,-131,47,-162c10825,477,10818,462,10805,451v-13,-12,-36,-18,-70,-20c10735,399,10735,399,10735,399v270,,270,,270,c11005,431,11005,431,11005,431v-26,4,-47,14,-64,29c10925,476,10900,523,10867,601v-274,646,-274,646,-274,646hal10551,1247hdxm11436,722v,-94,-5,-159,-16,-195c11410,493,11394,465,11372,447v-12,-10,-28,-16,-49,-16c11293,431,11268,446,11249,476v-35,53,-52,125,-52,215c11197,722,11197,722,11197,722hal11436,722hdxm11653,781v-452,,-452,,-452,c11206,890,11235,977,11288,1040v41,49,89,73,146,73c11469,1113,11501,1103,11530,1084v29,-20,60,-55,93,-107c11653,997,11653,997,11653,997v-45,91,-94,156,-149,193c11450,1228,11388,1247,11317,1247v-122,,-215,-47,-277,-141c10989,1031,10964,936,10964,824v,-137,37,-247,111,-327c11149,415,11237,374,11336,374v84,,156,35,217,104c11614,546,11648,647,11653,781t390,-382c12043,586,12043,586,12043,586v55,-86,102,-142,144,-170c12227,388,12267,374,12305,374v34,,59,11,79,32c12404,425,12414,453,12414,490v,39,-10,70,-29,92c12366,604,12343,615,12316,615v-31,,-58,-10,-81,-30c12212,565,12198,553,12194,551v-20,-5,-20,-5,-20,-5c12157,546,12141,552,12126,565v-25,20,-43,49,-55,85c12052,707,12043,770,12043,839v,190,,190,,190c12044,1078,12044,1078,12044,1078v,33,2,55,6,64c12081,1177,12081,1177,12081,1177v14,7,37,11,70,13c12151,1222,12151,1222,12151,1222v-444,,-444,,-444,c11707,1190,11707,1190,11707,1190v35,-2,59,-12,72,-28c11792,1144,11798,1100,11798,1029v,-456,,-456,,-456c11798,526,11795,496,11791,483v-5,-16,-14,-28,-25,-36c11754,439,11735,435,11707,431v,-32,,-32,,-32hal12043,399hdxm12802,399v,106,,106,,106c12844,460,12885,427,12923,406v39,-21,81,-32,126,-32c13102,374,13146,390,13182,419v35,29,58,67,70,110c13262,563,13266,627,13266,722v,320,,320,,320c13266,1106,13271,1145,13283,1162v11,14,36,24,72,28c13355,1222,13355,1222,13355,1222v-417,,-417,,-417,c12938,1190,12938,1190,12938,1190v31,-4,54,-17,67,-38c13014,1137,13020,1100,13020,1042v,-365,,-365,,-365c13020,608,13017,566,13011,549v-5,-18,-14,-32,-27,-41c12943,493,12943,493,12943,493v-50,,-98,36,-141,108c12802,1042,12802,1042,12802,1042v,62,6,101,17,117c12831,1176,12852,1186,12883,1190v,32,,32,,32c12466,1222,12466,1222,12466,1222v,-32,,-32,,-32c12501,1187,12526,1176,12541,1157v10,-13,15,-51,15,-115c12556,578,12556,578,12556,578v,-62,-7,-102,-18,-117c12527,446,12503,436,12466,431v,-32,,-32,,-32hal12802,399hdxm13756,399v,108,,108,,108c13801,458,13843,423,13881,404v39,-20,81,-30,127,-30c14061,374,14105,387,14141,411v35,25,64,62,83,113c14271,471,14316,433,14359,410v43,-24,88,-36,135,-36c14551,374,14596,387,14629,414v35,25,58,59,72,100c14713,553,14721,617,14721,705v,337,,337,,337c14721,1106,14726,1145,14737,1160v12,16,36,26,72,30c14809,1222,14809,1222,14809,1222v-425,,-425,,-425,c14384,1190,14384,1190,14384,1190v33,-2,58,-15,74,-38c14468,1136,14474,1099,14474,1042v,-353,,-353,,-353c14474,615,14471,569,14465,549v-6,-20,-15,-35,-28,-44c14424,495,14410,489,14393,489v-26,,-51,10,-77,29c14290,536,14264,564,14238,601v,441,,441,,441c14238,1102,14243,1139,14253,1155v13,21,39,33,77,35c14330,1222,14330,1222,14330,1222v-426,,-426,,-426,c13904,1190,13904,1190,13904,1190v23,,41,-6,54,-16c13984,1137,13984,1137,13984,1137v5,-15,8,-46,8,-95c13992,689,13992,689,13992,689v,-75,-4,-122,-9,-140c13977,529,13967,515,13952,505v-43,-16,-43,-16,-43,-16c13885,489,13864,495,13844,507v-28,19,-57,49,-88,94c13756,1042,13756,1042,13756,1042v,58,6,97,17,116c13784,1176,13809,1187,13845,1190v,32,,32,,32c13421,1222,13421,1222,13421,1222v,-32,,-32,,-32c13455,1187,13480,1176,13495,1157v9,-13,15,-51,15,-115c13510,578,13510,578,13510,578v,-62,-6,-102,-18,-117c13481,446,13457,436,13421,431v,-32,,-32,,-32hal13756,399hdxm15325,722v,-94,-5,-159,-15,-195c15299,493,15284,465,15262,447v-12,-10,-29,-16,-49,-16c15182,431,15157,446,15138,476v-35,53,-52,125,-52,215c15086,722,15086,722,15086,722hal15325,722hdxm15542,781v-452,,-452,,-452,c15096,890,15125,977,15177,1040v41,49,90,73,147,73c15359,1113,15391,1103,15420,1084v28,-20,59,-55,92,-107c15542,997,15542,997,15542,997v-45,91,-94,156,-148,193c15340,1228,15277,1247,15206,1247v-122,,-214,-47,-277,-141c14878,1031,14854,936,14854,824v,-137,37,-247,111,-327c15039,415,15126,374,15226,374v83,,156,35,217,104c15504,546,15537,647,15542,781t367,-382c15909,505,15909,505,15909,505v43,-45,83,-78,122,-99c16069,385,16111,374,16156,374v53,,97,16,133,45c16324,448,16347,486,16360,529v9,34,13,98,13,193c16373,1042,16373,1042,16373,1042v,64,6,103,17,120c16401,1176,16426,1186,16462,1190v,32,,32,,32c16046,1222,16046,1222,16046,1222v,-32,,-32,,-32c16077,1186,16099,1173,16113,1152v9,-15,14,-52,14,-110c16127,677,16127,677,16127,677v,-69,-3,-111,-9,-128c16114,531,16104,517,16091,508v-41,-15,-41,-15,-41,-15c16000,493,15953,529,15909,601v,441,,441,,441c15909,1104,15915,1143,15926,1159v12,17,33,27,64,31c15990,1222,15990,1222,15990,1222v-416,,-416,,-416,c15574,1190,15574,1190,15574,1190v35,-3,59,-14,74,-33c15658,1144,15663,1106,15663,1042v,-464,,-464,,-464c15663,516,15657,476,15645,461v-11,-15,-35,-25,-71,-30c15574,399,15574,399,15574,399hal15909,399hdxm16812,98v,301,,301,,301c17008,399,17008,399,17008,399v,88,,88,,88c16812,487,16812,487,16812,487v,507,,507,,507c16812,1042,16815,1072,16819,1087v23,33,23,33,23,33c16873,1132,16873,1132,16873,1132v38,,75,-28,108,-87c17008,1065,17008,1065,17008,1065v-47,112,-125,168,-231,168c16724,1233,16679,1219,16643,1190v-35,-29,-58,-62,-69,-97c16568,1073,16566,1019,16566,931v,-444,,-444,,-444c16458,487,16458,487,16458,487v,-32,,-32,,-32c16532,403,16595,348,16647,290v52,-57,97,-121,137,-192hal16812,98hdxe" fillcolor="black" stroked="f">
            <v:path arrowok="t"/>
            <o:lock v:ext="edit" aspectratio="t" verticies="t"/>
          </v:shape>
          <v:shape id="_x0000_s2052" style="position:absolute;left:-8301;top:-7050;width:17976;height:9102;visibility:visible" coordsize="7610,3853" path="m3808,1063hdc3905,1063,3966,1180,4068,1168v-240,47,-240,47,-240,47c3805,1248,3805,1248,3805,1248v-30,-3,-50,-24,-77,-33c3630,1215,3487,1203,3392,1203v-4,250,-4,250,-4,250c3352,1478,3352,1478,3352,1478v-14,-22,-14,-22,-14,-22c3273,1495,3255,1558,3237,1626v-32,80,111,126,123,191c3360,1817,3394,1888,3415,1903v26,80,91,125,73,217c3488,2198,3512,2311,3435,2362v-20,18,-32,-12,-32,-27c3362,2087,3362,2087,3362,2087v-46,-110,-141,-108,-237,-169c3090,1962,3083,2016,3066,2073v-18,44,-33,92,-50,137c2983,2302,2936,2392,2924,2487v,65,6,143,-18,202c2912,2740,2894,2781,2888,2826v-21,39,-183,507,-183,575c2705,3401,2673,3571,2717,3624v98,66,213,44,328,33c3267,3654,3494,3597,3684,3704v9,13,35,6,41,24c3763,3737,3787,3779,3796,3811v9,19,-12,22,-18,30c3705,3845,3645,3823,3577,3811v-379,-26,-736,-11,-1093,-5c2445,3800,2394,3800,2386,3752v-39,-101,23,-194,41,-289c2462,3321,2492,3166,2477,3011v-100,9,-192,80,-221,181c2244,3255,2223,3318,2194,3371v-77,152,-160,307,-311,393c1815,3802,1730,3806,1643,3809v-1164,,-1164,,-1164,c325,3782,139,3853,3,3764,,3719,,3719,,3719v92,-62,213,-27,325,-48c423,3701,542,3666,644,3671v219,-3,429,-20,645,-47c1404,3592,1531,3585,1632,3514v-21,-15,-33,-39,-44,-60c1591,3431,1611,3401,1641,3394v32,10,53,30,80,46c1776,3362,1803,3264,1786,3168v-110,117,-225,233,-335,355c1368,3582,1259,3612,1147,3601v-23,-33,29,-45,45,-67c1289,3437,1457,3493,1540,3354v18,-24,51,-36,56,-63c1570,3282,1546,3275,1531,3249v,-45,,-45,,-45c1549,3180,1575,3168,1599,3180v30,18,33,45,42,78c1697,3201,1744,3139,1780,3064v-6,-8,-6,-8,-6,-8c1461,3017,1239,3240,949,3282v-76,3,-154,30,-228,9c816,3255,929,3258,1023,3225v210,-72,393,-200,626,-218c1694,3011,1747,3001,1788,2987v30,-134,13,-265,15,-402c1667,2508,1546,2371,1378,2442v-86,24,-169,66,-192,155c1171,2713,1259,2838,1164,2939v-26,-12,-29,-48,-32,-77c1103,2800,1040,2734,1088,2660v21,-84,98,-150,165,-201c1313,2427,1381,2409,1440,2382v,-11,,-11,,-11c1286,2278,1141,2189,955,2168v-39,6,-89,-12,-118,18c819,2186,819,2186,819,2186v-71,39,-139,125,-242,107c511,2296,449,2278,384,2278v-6,-27,18,-29,36,-33c529,2120,715,2198,851,2135v68,-8,134,18,198,27c1067,2171,1097,2171,1118,2177v-15,-53,-45,-90,-57,-146c1008,1837,1147,1715,1156,1539v23,-14,23,-14,23,-14c1233,1641,1247,1811,1147,1906v-32,51,-77,119,-41,188c1194,2266,1389,2255,1526,2350v79,63,177,109,275,145c1833,2466,1818,2415,1827,2373v26,-261,228,-446,396,-637c2515,1501,2732,1173,2865,834v14,-130,,-271,53,-393c2909,396,2909,396,2909,396,2826,313,2768,221,2764,104v-8,-11,-18,-26,-8,-44c2805,42,2847,86,2891,93v65,35,119,89,175,131c3119,149,3160,86,3217,9v27,-9,38,15,41,33c3278,117,3270,197,3249,271v29,63,80,78,127,125c3376,435,3376,435,3376,435v50,92,216,107,160,239c3471,825,3146,628,3240,887v15,30,6,72,24,101c3273,1057,3296,1123,3305,1194v33,3,33,3,33,3c3349,1183,3344,1161,3364,1150v169,21,278,-152,444,-87m6933,2999v,-57,15,-110,21,-164c6962,2817,6969,2797,6965,2773v71,-96,216,-66,328,-57c7338,2740,7394,2737,7441,2749v21,-15,51,-18,74,-15c7610,2683,7548,2573,7554,2487v-36,-89,-36,-89,-36,-89c7509,2380,7501,2359,7495,2338v-18,-22,-30,-60,-48,-81c7397,2127,7300,2052,7217,1948,7066,1751,6829,1641,6593,1564v-234,-81,-470,24,-680,98c5848,1644,5815,1593,5798,1537v-12,-114,12,-224,56,-316c5863,1146,5913,1090,5934,1022v53,-167,109,-331,121,-512c6061,399,5978,322,5895,274v-56,-15,-121,-12,-163,33c5694,387,5612,441,5540,480v-5,51,56,18,78,35c5682,527,5756,506,5810,548v5,119,-63,217,-125,307c5585,1004,5478,1156,5416,1319v-11,-11,-11,-11,-11,-11c5419,2036,5419,2036,5419,2036v94,156,211,335,387,395c5901,2508,6019,2600,6147,2531v68,-20,73,75,106,113c6289,2755,6209,2832,6203,2933v-77,165,-77,165,-77,165c6037,3270,5957,3454,5821,3601v-44,,-71,47,-115,50c5682,3684,5635,3660,5605,3671v-91,39,-221,16,-283,102c5345,3788,5345,3788,5345,3788v180,3,381,15,574,6c5943,3785,5963,3764,5966,3737v-27,-50,9,-95,33,-133c6013,3531,6061,3487,6082,3419v62,-123,133,-241,201,-364c6374,2906,6374,2906,6374,2906v21,-50,56,-113,92,-166c6489,2716,6501,2689,6519,2660v3,-30,-12,-42,-30,-63c6510,2576,6543,2582,6569,2576v74,45,151,116,165,197c6762,2850,6762,2850,6762,2850v11,36,11,36,11,36c6767,2984,6767,2984,6767,2984v12,92,12,92,12,92c6794,3219,6767,3365,6753,3508v-50,173,-248,155,-391,193c6327,3725,6259,3713,6259,3773v171,36,372,15,556,12c6844,3773,6850,3746,6865,3719v6,-38,44,-71,32,-113c6865,3565,6894,3499,6885,3442v6,-14,6,-35,,-56c6909,3300,6903,3196,6921,3112hal6933,2999hdxe" fillcolor="black" stroked="f">
            <v:path arrowok="t"/>
            <o:lock v:ext="edit" aspectratio="t" verticies="t"/>
          </v:shape>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Header"/>
    </w:pPr>
  </w:p>
  <w:tbl>
    <w:tblPr>
      <w:tblW w:w="7685" w:type="dxa"/>
      <w:tblLayout w:type="fixed"/>
      <w:tblCellMar>
        <w:left w:w="0" w:type="dxa"/>
        <w:right w:w="0" w:type="dxa"/>
      </w:tblCellMar>
      <w:tblLook w:val="01E0"/>
    </w:tblPr>
    <w:tblGrid>
      <w:gridCol w:w="7685"/>
    </w:tblGrid>
    <w:tr w:rsidR="00B041E7">
      <w:trPr>
        <w:trHeight w:hRule="exact" w:val="988"/>
      </w:trPr>
      <w:tc>
        <w:tcPr>
          <w:tcW w:w="7685" w:type="dxa"/>
          <w:shd w:val="clear" w:color="auto" w:fill="auto"/>
        </w:tcPr>
        <w:p w:rsidR="00B041E7" w:rsidRDefault="00B041E7">
          <w:pPr>
            <w:pStyle w:val="Header"/>
          </w:pPr>
        </w:p>
      </w:tc>
    </w:tr>
    <w:tr w:rsidR="00B041E7">
      <w:tc>
        <w:tcPr>
          <w:tcW w:w="7685" w:type="dxa"/>
          <w:shd w:val="clear" w:color="auto" w:fill="auto"/>
        </w:tcPr>
        <w:p w:rsidR="00B041E7" w:rsidRDefault="00B041E7" w:rsidP="000A4A51">
          <w:pPr>
            <w:pStyle w:val="TOCHeading"/>
          </w:pPr>
          <w:r>
            <w:t>Contents</w:t>
          </w:r>
        </w:p>
      </w:tc>
    </w:tr>
  </w:tbl>
  <w:p w:rsidR="00B041E7" w:rsidRDefault="00B041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Header"/>
    </w:pPr>
  </w:p>
  <w:p w:rsidR="00B041E7" w:rsidRDefault="00B041E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Header"/>
    </w:pPr>
  </w:p>
  <w:tbl>
    <w:tblPr>
      <w:tblW w:w="7678" w:type="dxa"/>
      <w:tblLayout w:type="fixed"/>
      <w:tblCellMar>
        <w:left w:w="0" w:type="dxa"/>
        <w:right w:w="0" w:type="dxa"/>
      </w:tblCellMar>
      <w:tblLook w:val="01E0"/>
    </w:tblPr>
    <w:tblGrid>
      <w:gridCol w:w="7678"/>
    </w:tblGrid>
    <w:tr w:rsidR="00B041E7">
      <w:trPr>
        <w:trHeight w:hRule="exact" w:val="988"/>
      </w:trPr>
      <w:tc>
        <w:tcPr>
          <w:tcW w:w="7678" w:type="dxa"/>
          <w:shd w:val="clear" w:color="auto" w:fill="auto"/>
        </w:tcPr>
        <w:p w:rsidR="00B041E7" w:rsidRDefault="00B041E7" w:rsidP="005D2502">
          <w:pPr>
            <w:pStyle w:val="Header"/>
          </w:pPr>
        </w:p>
      </w:tc>
    </w:tr>
    <w:tr w:rsidR="00B041E7">
      <w:tc>
        <w:tcPr>
          <w:tcW w:w="7678" w:type="dxa"/>
          <w:shd w:val="clear" w:color="auto" w:fill="auto"/>
        </w:tcPr>
        <w:p w:rsidR="00B041E7" w:rsidRDefault="00B041E7" w:rsidP="005D2502">
          <w:pPr>
            <w:pStyle w:val="TOCHeading"/>
          </w:pPr>
          <w:r>
            <w:t xml:space="preserve">Contents </w:t>
          </w:r>
          <w:r w:rsidRPr="00915B1C">
            <w:rPr>
              <w:b w:val="0"/>
              <w:spacing w:val="0"/>
              <w:sz w:val="28"/>
              <w:szCs w:val="28"/>
            </w:rPr>
            <w:t>(Continued)</w:t>
          </w:r>
        </w:p>
      </w:tc>
    </w:tr>
    <w:tr w:rsidR="00B041E7">
      <w:trPr>
        <w:trHeight w:val="1220"/>
      </w:trPr>
      <w:tc>
        <w:tcPr>
          <w:tcW w:w="7678" w:type="dxa"/>
          <w:shd w:val="clear" w:color="auto" w:fill="auto"/>
        </w:tcPr>
        <w:p w:rsidR="00B041E7" w:rsidRDefault="00B041E7" w:rsidP="00D6507F"/>
      </w:tc>
    </w:tr>
  </w:tbl>
  <w:p w:rsidR="00B041E7" w:rsidRDefault="00B041E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Header"/>
    </w:pPr>
  </w:p>
  <w:tbl>
    <w:tblPr>
      <w:tblW w:w="0" w:type="auto"/>
      <w:tblLayout w:type="fixed"/>
      <w:tblCellMar>
        <w:left w:w="0" w:type="dxa"/>
        <w:right w:w="0" w:type="dxa"/>
      </w:tblCellMar>
      <w:tblLook w:val="01E0"/>
    </w:tblPr>
    <w:tblGrid>
      <w:gridCol w:w="7671"/>
    </w:tblGrid>
    <w:tr w:rsidR="00B041E7">
      <w:trPr>
        <w:trHeight w:hRule="exact" w:val="988"/>
      </w:trPr>
      <w:tc>
        <w:tcPr>
          <w:tcW w:w="7671" w:type="dxa"/>
          <w:shd w:val="clear" w:color="auto" w:fill="auto"/>
        </w:tcPr>
        <w:p w:rsidR="00B041E7" w:rsidRDefault="00B041E7" w:rsidP="005D2502">
          <w:pPr>
            <w:pStyle w:val="Header"/>
          </w:pPr>
        </w:p>
      </w:tc>
    </w:tr>
    <w:tr w:rsidR="00B041E7">
      <w:tc>
        <w:tcPr>
          <w:tcW w:w="7671" w:type="dxa"/>
          <w:shd w:val="clear" w:color="auto" w:fill="auto"/>
        </w:tcPr>
        <w:p w:rsidR="00B041E7" w:rsidRDefault="00B041E7" w:rsidP="005D2502">
          <w:pPr>
            <w:pStyle w:val="TOCHeading"/>
          </w:pPr>
          <w:r>
            <w:t xml:space="preserve">Contents </w:t>
          </w:r>
          <w:r w:rsidRPr="00915B1C">
            <w:rPr>
              <w:b w:val="0"/>
              <w:spacing w:val="0"/>
              <w:sz w:val="28"/>
              <w:szCs w:val="28"/>
            </w:rPr>
            <w:t>(Continued)</w:t>
          </w:r>
        </w:p>
      </w:tc>
    </w:tr>
  </w:tbl>
  <w:p w:rsidR="00B041E7" w:rsidRDefault="00B041E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Header"/>
    </w:pPr>
  </w:p>
  <w:p w:rsidR="00B041E7" w:rsidRDefault="00B041E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1E7" w:rsidRDefault="00B041E7">
    <w:pPr>
      <w:pStyle w:val="Header"/>
    </w:pPr>
  </w:p>
  <w:p w:rsidR="00B041E7" w:rsidRDefault="00B041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D58E926"/>
    <w:lvl w:ilvl="0">
      <w:start w:val="1"/>
      <w:numFmt w:val="decimal"/>
      <w:lvlText w:val="%1."/>
      <w:lvlJc w:val="left"/>
      <w:pPr>
        <w:tabs>
          <w:tab w:val="num" w:pos="1492"/>
        </w:tabs>
        <w:ind w:left="1492" w:hanging="360"/>
      </w:pPr>
    </w:lvl>
  </w:abstractNum>
  <w:abstractNum w:abstractNumId="1">
    <w:nsid w:val="FFFFFF7D"/>
    <w:multiLevelType w:val="singleLevel"/>
    <w:tmpl w:val="3AD4674E"/>
    <w:lvl w:ilvl="0">
      <w:start w:val="1"/>
      <w:numFmt w:val="decimal"/>
      <w:lvlText w:val="%1."/>
      <w:lvlJc w:val="left"/>
      <w:pPr>
        <w:tabs>
          <w:tab w:val="num" w:pos="1209"/>
        </w:tabs>
        <w:ind w:left="1209" w:hanging="360"/>
      </w:pPr>
    </w:lvl>
  </w:abstractNum>
  <w:abstractNum w:abstractNumId="2">
    <w:nsid w:val="FFFFFF7E"/>
    <w:multiLevelType w:val="singleLevel"/>
    <w:tmpl w:val="0EAAFA38"/>
    <w:lvl w:ilvl="0">
      <w:start w:val="1"/>
      <w:numFmt w:val="decimal"/>
      <w:lvlText w:val="%1."/>
      <w:lvlJc w:val="left"/>
      <w:pPr>
        <w:tabs>
          <w:tab w:val="num" w:pos="926"/>
        </w:tabs>
        <w:ind w:left="926" w:hanging="360"/>
      </w:pPr>
    </w:lvl>
  </w:abstractNum>
  <w:abstractNum w:abstractNumId="3">
    <w:nsid w:val="FFFFFF7F"/>
    <w:multiLevelType w:val="singleLevel"/>
    <w:tmpl w:val="44E69990"/>
    <w:lvl w:ilvl="0">
      <w:start w:val="1"/>
      <w:numFmt w:val="decimal"/>
      <w:pStyle w:val="ListNumber2"/>
      <w:lvlText w:val="%1/"/>
      <w:lvlJc w:val="left"/>
      <w:pPr>
        <w:tabs>
          <w:tab w:val="num" w:pos="295"/>
        </w:tabs>
        <w:ind w:left="295" w:hanging="295"/>
      </w:pPr>
      <w:rPr>
        <w:rFonts w:hint="default"/>
      </w:rPr>
    </w:lvl>
  </w:abstractNum>
  <w:abstractNum w:abstractNumId="4">
    <w:nsid w:val="FFFFFF80"/>
    <w:multiLevelType w:val="singleLevel"/>
    <w:tmpl w:val="486605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F0D8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30DB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8">
    <w:nsid w:val="FFFFFF88"/>
    <w:multiLevelType w:val="singleLevel"/>
    <w:tmpl w:val="4EDA8EF2"/>
    <w:lvl w:ilvl="0">
      <w:start w:val="1"/>
      <w:numFmt w:val="lowerLetter"/>
      <w:pStyle w:val="ListNumber"/>
      <w:lvlText w:val="%1/"/>
      <w:lvlJc w:val="left"/>
      <w:pPr>
        <w:tabs>
          <w:tab w:val="num" w:pos="295"/>
        </w:tabs>
        <w:ind w:left="295" w:hanging="295"/>
      </w:pPr>
      <w:rPr>
        <w:rFonts w:ascii="HelveticaNeueLT Std Lt" w:hAnsi="HelveticaNeueLT Std Lt" w:hint="default"/>
        <w:caps/>
        <w:sz w:val="20"/>
      </w:rPr>
    </w:lvl>
  </w:abstractNum>
  <w:abstractNum w:abstractNumId="9">
    <w:nsid w:val="FFFFFF89"/>
    <w:multiLevelType w:val="singleLevel"/>
    <w:tmpl w:val="6D04C7AC"/>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10">
    <w:nsid w:val="02134A40"/>
    <w:multiLevelType w:val="hybridMultilevel"/>
    <w:tmpl w:val="7B6408F8"/>
    <w:lvl w:ilvl="0" w:tplc="FD74EEBA">
      <w:start w:val="1"/>
      <w:numFmt w:val="bullet"/>
      <w:lvlText w:val="&gt;"/>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6804DA"/>
    <w:multiLevelType w:val="multilevel"/>
    <w:tmpl w:val="7780E848"/>
    <w:lvl w:ilvl="0">
      <w:start w:val="1"/>
      <w:numFmt w:val="decimalZero"/>
      <w:lvlText w:val="%1"/>
      <w:lvlJc w:val="left"/>
      <w:pPr>
        <w:tabs>
          <w:tab w:val="num" w:pos="454"/>
        </w:tabs>
        <w:ind w:left="454" w:hanging="454"/>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E8E1647"/>
    <w:multiLevelType w:val="hybridMultilevel"/>
    <w:tmpl w:val="BAD403A4"/>
    <w:lvl w:ilvl="0" w:tplc="604CD0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254553D"/>
    <w:multiLevelType w:val="hybridMultilevel"/>
    <w:tmpl w:val="9D9866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4FD5FC5"/>
    <w:multiLevelType w:val="multilevel"/>
    <w:tmpl w:val="951029E0"/>
    <w:lvl w:ilvl="0">
      <w:start w:val="1"/>
      <w:numFmt w:val="decimalZero"/>
      <w:lvlText w:val="%1"/>
      <w:lvlJc w:val="left"/>
      <w:pPr>
        <w:tabs>
          <w:tab w:val="num" w:pos="454"/>
        </w:tabs>
        <w:ind w:left="454" w:hanging="454"/>
      </w:pPr>
      <w:rPr>
        <w:rFonts w:ascii="HelveticaNeueLT Std Med" w:hAnsi="HelveticaNeueLT Std Med" w:hint="default"/>
        <w:b/>
        <w:i w:val="0"/>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C9E10BE"/>
    <w:multiLevelType w:val="hybridMultilevel"/>
    <w:tmpl w:val="7E2272E4"/>
    <w:lvl w:ilvl="0" w:tplc="AD2AA5C8">
      <w:start w:val="1"/>
      <w:numFmt w:val="decimalZero"/>
      <w:lvlText w:val="%1"/>
      <w:lvlJc w:val="left"/>
      <w:pPr>
        <w:tabs>
          <w:tab w:val="num" w:pos="885"/>
        </w:tabs>
        <w:ind w:left="885" w:hanging="885"/>
      </w:pPr>
      <w:rPr>
        <w:rFonts w:ascii="HelveticaNeueLT Std Med" w:hAnsi="HelveticaNeueLT Std Med" w:hint="default"/>
        <w:b/>
        <w:i w:val="0"/>
        <w:color w:val="808285"/>
        <w:sz w:val="2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1CC2A60"/>
    <w:multiLevelType w:val="hybridMultilevel"/>
    <w:tmpl w:val="9D183750"/>
    <w:lvl w:ilvl="0" w:tplc="604CD0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9C5333"/>
    <w:multiLevelType w:val="multilevel"/>
    <w:tmpl w:val="EF7285AC"/>
    <w:lvl w:ilvl="0">
      <w:start w:val="1"/>
      <w:numFmt w:val="decimalZero"/>
      <w:lvlText w:val="%1"/>
      <w:lvlJc w:val="left"/>
      <w:pPr>
        <w:tabs>
          <w:tab w:val="num" w:pos="228"/>
        </w:tabs>
        <w:ind w:left="228" w:hanging="228"/>
      </w:pPr>
      <w:rPr>
        <w:rFonts w:ascii="HelveticaNeueLT Std Med" w:hAnsi="HelveticaNeueLT Std Med" w:hint="default"/>
        <w:color w:val="808285"/>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1104FA1"/>
    <w:multiLevelType w:val="hybridMultilevel"/>
    <w:tmpl w:val="3D765BC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9">
    <w:nsid w:val="54F745D5"/>
    <w:multiLevelType w:val="multilevel"/>
    <w:tmpl w:val="9FB6A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33F3DEF"/>
    <w:multiLevelType w:val="hybridMultilevel"/>
    <w:tmpl w:val="90D0F1E0"/>
    <w:lvl w:ilvl="0" w:tplc="604CD0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8D050EC"/>
    <w:multiLevelType w:val="hybridMultilevel"/>
    <w:tmpl w:val="6CC89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988561B"/>
    <w:multiLevelType w:val="hybridMultilevel"/>
    <w:tmpl w:val="38907162"/>
    <w:lvl w:ilvl="0" w:tplc="0C09000F">
      <w:start w:val="1"/>
      <w:numFmt w:val="decimal"/>
      <w:lvlText w:val="%1."/>
      <w:lvlJc w:val="left"/>
      <w:pPr>
        <w:ind w:left="709" w:hanging="360"/>
      </w:p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23">
    <w:nsid w:val="71790B94"/>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7603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F33169D"/>
    <w:multiLevelType w:val="multilevel"/>
    <w:tmpl w:val="E1C84640"/>
    <w:lvl w:ilvl="0">
      <w:start w:val="1"/>
      <w:numFmt w:val="decimalZero"/>
      <w:lvlText w:val="%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7"/>
  </w:num>
  <w:num w:numId="14">
    <w:abstractNumId w:val="11"/>
  </w:num>
  <w:num w:numId="15">
    <w:abstractNumId w:val="14"/>
  </w:num>
  <w:num w:numId="16">
    <w:abstractNumId w:val="25"/>
  </w:num>
  <w:num w:numId="17">
    <w:abstractNumId w:val="24"/>
  </w:num>
  <w:num w:numId="18">
    <w:abstractNumId w:val="19"/>
  </w:num>
  <w:num w:numId="19">
    <w:abstractNumId w:val="18"/>
  </w:num>
  <w:num w:numId="20">
    <w:abstractNumId w:val="21"/>
  </w:num>
  <w:num w:numId="21">
    <w:abstractNumId w:val="9"/>
  </w:num>
  <w:num w:numId="22">
    <w:abstractNumId w:val="22"/>
  </w:num>
  <w:num w:numId="23">
    <w:abstractNumId w:val="13"/>
  </w:num>
  <w:num w:numId="24">
    <w:abstractNumId w:val="9"/>
  </w:num>
  <w:num w:numId="25">
    <w:abstractNumId w:val="20"/>
  </w:num>
  <w:num w:numId="26">
    <w:abstractNumId w:val="12"/>
  </w:num>
  <w:num w:numId="27">
    <w:abstractNumId w:val="16"/>
  </w:num>
  <w:num w:numId="28">
    <w:abstractNumId w:val="1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oNotTrackMoves/>
  <w:defaultTabStop w:val="720"/>
  <w:evenAndOddHeaders/>
  <w:drawingGridHorizontalSpacing w:val="100"/>
  <w:displayHorizontalDrawingGridEvery w:val="2"/>
  <w:characterSpacingControl w:val="doNotCompress"/>
  <w:hdrShapeDefaults>
    <o:shapedefaults v:ext="edit" spidmax="2065">
      <o:colormru v:ext="edit" colors="red,#4d4d4f"/>
    </o:shapedefaults>
    <o:shapelayout v:ext="edit">
      <o:idmap v:ext="edit" data="2"/>
    </o:shapelayout>
  </w:hdrShapeDefaults>
  <w:footnotePr>
    <w:footnote w:id="-1"/>
    <w:footnote w:id="0"/>
  </w:footnotePr>
  <w:endnotePr>
    <w:endnote w:id="-1"/>
    <w:endnote w:id="0"/>
  </w:endnotePr>
  <w:compat/>
  <w:rsids>
    <w:rsidRoot w:val="003738A5"/>
    <w:rsid w:val="00010667"/>
    <w:rsid w:val="00015AE7"/>
    <w:rsid w:val="0001629F"/>
    <w:rsid w:val="000162EB"/>
    <w:rsid w:val="00016E21"/>
    <w:rsid w:val="0001719C"/>
    <w:rsid w:val="00020960"/>
    <w:rsid w:val="00023C82"/>
    <w:rsid w:val="00025D84"/>
    <w:rsid w:val="00026F91"/>
    <w:rsid w:val="00031183"/>
    <w:rsid w:val="00033351"/>
    <w:rsid w:val="00035C81"/>
    <w:rsid w:val="00041E75"/>
    <w:rsid w:val="00043733"/>
    <w:rsid w:val="0005045A"/>
    <w:rsid w:val="00050D8E"/>
    <w:rsid w:val="00051B24"/>
    <w:rsid w:val="00051C1E"/>
    <w:rsid w:val="00053114"/>
    <w:rsid w:val="000539F9"/>
    <w:rsid w:val="00054C27"/>
    <w:rsid w:val="00055EC3"/>
    <w:rsid w:val="000563CE"/>
    <w:rsid w:val="00060D65"/>
    <w:rsid w:val="000632FD"/>
    <w:rsid w:val="00063844"/>
    <w:rsid w:val="00063FE2"/>
    <w:rsid w:val="000659B6"/>
    <w:rsid w:val="0006609F"/>
    <w:rsid w:val="00075B96"/>
    <w:rsid w:val="00075F79"/>
    <w:rsid w:val="00081122"/>
    <w:rsid w:val="0008196A"/>
    <w:rsid w:val="00083BA1"/>
    <w:rsid w:val="000903F0"/>
    <w:rsid w:val="000905C5"/>
    <w:rsid w:val="0009209D"/>
    <w:rsid w:val="000934E9"/>
    <w:rsid w:val="000969BD"/>
    <w:rsid w:val="000969BF"/>
    <w:rsid w:val="000A0C22"/>
    <w:rsid w:val="000A17BB"/>
    <w:rsid w:val="000A2218"/>
    <w:rsid w:val="000A2BB7"/>
    <w:rsid w:val="000A34CD"/>
    <w:rsid w:val="000A3C43"/>
    <w:rsid w:val="000A48C5"/>
    <w:rsid w:val="000A4A51"/>
    <w:rsid w:val="000A5D2B"/>
    <w:rsid w:val="000B06F8"/>
    <w:rsid w:val="000B57AD"/>
    <w:rsid w:val="000B5DE3"/>
    <w:rsid w:val="000B759E"/>
    <w:rsid w:val="000C08CB"/>
    <w:rsid w:val="000C230C"/>
    <w:rsid w:val="000C73B3"/>
    <w:rsid w:val="000D0085"/>
    <w:rsid w:val="000D71D9"/>
    <w:rsid w:val="000D72B4"/>
    <w:rsid w:val="000D7D82"/>
    <w:rsid w:val="000D7E8B"/>
    <w:rsid w:val="000E4449"/>
    <w:rsid w:val="000E482D"/>
    <w:rsid w:val="000E6097"/>
    <w:rsid w:val="000F20A1"/>
    <w:rsid w:val="000F34B6"/>
    <w:rsid w:val="000F5B67"/>
    <w:rsid w:val="001013B6"/>
    <w:rsid w:val="00101F54"/>
    <w:rsid w:val="00102E07"/>
    <w:rsid w:val="001114D8"/>
    <w:rsid w:val="00111FCE"/>
    <w:rsid w:val="00112EE1"/>
    <w:rsid w:val="00114D2D"/>
    <w:rsid w:val="00120A15"/>
    <w:rsid w:val="00122AA1"/>
    <w:rsid w:val="00123848"/>
    <w:rsid w:val="0012489B"/>
    <w:rsid w:val="0012569D"/>
    <w:rsid w:val="00130017"/>
    <w:rsid w:val="00130F91"/>
    <w:rsid w:val="00131F9E"/>
    <w:rsid w:val="00134D8E"/>
    <w:rsid w:val="00137424"/>
    <w:rsid w:val="00141AD9"/>
    <w:rsid w:val="001424F1"/>
    <w:rsid w:val="001442B2"/>
    <w:rsid w:val="00145A5D"/>
    <w:rsid w:val="00145D79"/>
    <w:rsid w:val="00152903"/>
    <w:rsid w:val="001548F1"/>
    <w:rsid w:val="0015614F"/>
    <w:rsid w:val="001577C2"/>
    <w:rsid w:val="00157E84"/>
    <w:rsid w:val="00160910"/>
    <w:rsid w:val="00160A6F"/>
    <w:rsid w:val="00161A53"/>
    <w:rsid w:val="001633C4"/>
    <w:rsid w:val="0016631E"/>
    <w:rsid w:val="001667E8"/>
    <w:rsid w:val="00171591"/>
    <w:rsid w:val="00173981"/>
    <w:rsid w:val="0017719D"/>
    <w:rsid w:val="001779E5"/>
    <w:rsid w:val="0018072F"/>
    <w:rsid w:val="001875B7"/>
    <w:rsid w:val="00187CB3"/>
    <w:rsid w:val="00191C40"/>
    <w:rsid w:val="00193BC4"/>
    <w:rsid w:val="001976E3"/>
    <w:rsid w:val="001A3E80"/>
    <w:rsid w:val="001A7E66"/>
    <w:rsid w:val="001B0C32"/>
    <w:rsid w:val="001B3150"/>
    <w:rsid w:val="001B31C0"/>
    <w:rsid w:val="001B58AA"/>
    <w:rsid w:val="001B7E48"/>
    <w:rsid w:val="001C17CE"/>
    <w:rsid w:val="001C2254"/>
    <w:rsid w:val="001C234F"/>
    <w:rsid w:val="001C2C12"/>
    <w:rsid w:val="001C36CA"/>
    <w:rsid w:val="001C36FA"/>
    <w:rsid w:val="001C44D1"/>
    <w:rsid w:val="001C6AEE"/>
    <w:rsid w:val="001C7630"/>
    <w:rsid w:val="001D1526"/>
    <w:rsid w:val="001D62B1"/>
    <w:rsid w:val="001D6D15"/>
    <w:rsid w:val="001E20AA"/>
    <w:rsid w:val="001F3B54"/>
    <w:rsid w:val="001F7558"/>
    <w:rsid w:val="00205B57"/>
    <w:rsid w:val="00211196"/>
    <w:rsid w:val="00212F07"/>
    <w:rsid w:val="002157E0"/>
    <w:rsid w:val="0022334F"/>
    <w:rsid w:val="00226819"/>
    <w:rsid w:val="00231598"/>
    <w:rsid w:val="00232256"/>
    <w:rsid w:val="00233817"/>
    <w:rsid w:val="0023388A"/>
    <w:rsid w:val="00234EE4"/>
    <w:rsid w:val="002367FF"/>
    <w:rsid w:val="002408A7"/>
    <w:rsid w:val="00240CE9"/>
    <w:rsid w:val="00245FE2"/>
    <w:rsid w:val="00246089"/>
    <w:rsid w:val="00246702"/>
    <w:rsid w:val="002476DC"/>
    <w:rsid w:val="00247F2E"/>
    <w:rsid w:val="00250ADC"/>
    <w:rsid w:val="00251A5D"/>
    <w:rsid w:val="00253D8F"/>
    <w:rsid w:val="00254AE2"/>
    <w:rsid w:val="002572CD"/>
    <w:rsid w:val="00257553"/>
    <w:rsid w:val="00257E4F"/>
    <w:rsid w:val="00262128"/>
    <w:rsid w:val="002638E1"/>
    <w:rsid w:val="002661F6"/>
    <w:rsid w:val="0027364B"/>
    <w:rsid w:val="00273CEB"/>
    <w:rsid w:val="0027501E"/>
    <w:rsid w:val="00281C89"/>
    <w:rsid w:val="0028282F"/>
    <w:rsid w:val="00283E62"/>
    <w:rsid w:val="0028419A"/>
    <w:rsid w:val="00287F59"/>
    <w:rsid w:val="0029151D"/>
    <w:rsid w:val="00297FC5"/>
    <w:rsid w:val="002A0417"/>
    <w:rsid w:val="002A05A8"/>
    <w:rsid w:val="002A14F1"/>
    <w:rsid w:val="002A16D8"/>
    <w:rsid w:val="002A1BC8"/>
    <w:rsid w:val="002A3EF2"/>
    <w:rsid w:val="002B19A2"/>
    <w:rsid w:val="002B1FD5"/>
    <w:rsid w:val="002B2F33"/>
    <w:rsid w:val="002B381A"/>
    <w:rsid w:val="002B4FCC"/>
    <w:rsid w:val="002B7A30"/>
    <w:rsid w:val="002B7CFD"/>
    <w:rsid w:val="002C1F46"/>
    <w:rsid w:val="002C4094"/>
    <w:rsid w:val="002C5DF2"/>
    <w:rsid w:val="002C75E5"/>
    <w:rsid w:val="002D0A65"/>
    <w:rsid w:val="002D0E35"/>
    <w:rsid w:val="002D157D"/>
    <w:rsid w:val="002D188A"/>
    <w:rsid w:val="002D278C"/>
    <w:rsid w:val="002D2893"/>
    <w:rsid w:val="002D325B"/>
    <w:rsid w:val="002D3600"/>
    <w:rsid w:val="002D59B4"/>
    <w:rsid w:val="002E1460"/>
    <w:rsid w:val="002E1ADE"/>
    <w:rsid w:val="002E3B24"/>
    <w:rsid w:val="002E4DDC"/>
    <w:rsid w:val="002E6886"/>
    <w:rsid w:val="002F53F0"/>
    <w:rsid w:val="002F59E3"/>
    <w:rsid w:val="002F6338"/>
    <w:rsid w:val="0030085B"/>
    <w:rsid w:val="00300F3A"/>
    <w:rsid w:val="00302480"/>
    <w:rsid w:val="00302C7D"/>
    <w:rsid w:val="003058D0"/>
    <w:rsid w:val="00316490"/>
    <w:rsid w:val="003165E6"/>
    <w:rsid w:val="00316DE7"/>
    <w:rsid w:val="00316EBC"/>
    <w:rsid w:val="003214FF"/>
    <w:rsid w:val="00322FC5"/>
    <w:rsid w:val="00323129"/>
    <w:rsid w:val="00324CE7"/>
    <w:rsid w:val="00325295"/>
    <w:rsid w:val="00325A73"/>
    <w:rsid w:val="00327948"/>
    <w:rsid w:val="0033000F"/>
    <w:rsid w:val="00331B28"/>
    <w:rsid w:val="00331B4E"/>
    <w:rsid w:val="00332011"/>
    <w:rsid w:val="00332518"/>
    <w:rsid w:val="00332597"/>
    <w:rsid w:val="003332ED"/>
    <w:rsid w:val="003337BC"/>
    <w:rsid w:val="0033533D"/>
    <w:rsid w:val="003368DC"/>
    <w:rsid w:val="00343A80"/>
    <w:rsid w:val="00345927"/>
    <w:rsid w:val="00350584"/>
    <w:rsid w:val="00351857"/>
    <w:rsid w:val="00352078"/>
    <w:rsid w:val="0035706D"/>
    <w:rsid w:val="003610E1"/>
    <w:rsid w:val="00361394"/>
    <w:rsid w:val="003646C2"/>
    <w:rsid w:val="003671BE"/>
    <w:rsid w:val="00367346"/>
    <w:rsid w:val="00367670"/>
    <w:rsid w:val="00372485"/>
    <w:rsid w:val="00373200"/>
    <w:rsid w:val="003738A5"/>
    <w:rsid w:val="00375EF5"/>
    <w:rsid w:val="003767A5"/>
    <w:rsid w:val="00380415"/>
    <w:rsid w:val="0038190E"/>
    <w:rsid w:val="00381D8A"/>
    <w:rsid w:val="00385254"/>
    <w:rsid w:val="00386AF7"/>
    <w:rsid w:val="00394540"/>
    <w:rsid w:val="003A4DB7"/>
    <w:rsid w:val="003A4F96"/>
    <w:rsid w:val="003A5F5B"/>
    <w:rsid w:val="003A789A"/>
    <w:rsid w:val="003B0DA1"/>
    <w:rsid w:val="003B2A6A"/>
    <w:rsid w:val="003B6D3A"/>
    <w:rsid w:val="003C2AA9"/>
    <w:rsid w:val="003C3DF9"/>
    <w:rsid w:val="003C4187"/>
    <w:rsid w:val="003C4AA7"/>
    <w:rsid w:val="003C77E0"/>
    <w:rsid w:val="003D02B6"/>
    <w:rsid w:val="003D17D7"/>
    <w:rsid w:val="003D2678"/>
    <w:rsid w:val="003D26F5"/>
    <w:rsid w:val="003D31BE"/>
    <w:rsid w:val="003D5F60"/>
    <w:rsid w:val="003D71A3"/>
    <w:rsid w:val="003D7B1D"/>
    <w:rsid w:val="003E0EF2"/>
    <w:rsid w:val="003E1AFE"/>
    <w:rsid w:val="003E5A35"/>
    <w:rsid w:val="003E7BBC"/>
    <w:rsid w:val="003F16F6"/>
    <w:rsid w:val="003F45F5"/>
    <w:rsid w:val="003F4DC7"/>
    <w:rsid w:val="003F5235"/>
    <w:rsid w:val="004000D7"/>
    <w:rsid w:val="004027E4"/>
    <w:rsid w:val="00403BCD"/>
    <w:rsid w:val="00405916"/>
    <w:rsid w:val="0041071D"/>
    <w:rsid w:val="00412CCF"/>
    <w:rsid w:val="00414796"/>
    <w:rsid w:val="00414AFC"/>
    <w:rsid w:val="004151A7"/>
    <w:rsid w:val="00415310"/>
    <w:rsid w:val="00421709"/>
    <w:rsid w:val="00423763"/>
    <w:rsid w:val="00423B17"/>
    <w:rsid w:val="00423F33"/>
    <w:rsid w:val="00427DC7"/>
    <w:rsid w:val="00427ECF"/>
    <w:rsid w:val="00431613"/>
    <w:rsid w:val="0043297A"/>
    <w:rsid w:val="00432EB2"/>
    <w:rsid w:val="004368BA"/>
    <w:rsid w:val="0043714F"/>
    <w:rsid w:val="00437AB3"/>
    <w:rsid w:val="004438B5"/>
    <w:rsid w:val="004443BE"/>
    <w:rsid w:val="004474E0"/>
    <w:rsid w:val="00451384"/>
    <w:rsid w:val="0045296B"/>
    <w:rsid w:val="00452B3B"/>
    <w:rsid w:val="00454596"/>
    <w:rsid w:val="004547CF"/>
    <w:rsid w:val="00455C16"/>
    <w:rsid w:val="0045605D"/>
    <w:rsid w:val="0045623E"/>
    <w:rsid w:val="00463AD0"/>
    <w:rsid w:val="00465FBC"/>
    <w:rsid w:val="00470861"/>
    <w:rsid w:val="00472167"/>
    <w:rsid w:val="00476472"/>
    <w:rsid w:val="004822D0"/>
    <w:rsid w:val="00482550"/>
    <w:rsid w:val="00483A93"/>
    <w:rsid w:val="00485934"/>
    <w:rsid w:val="004867D8"/>
    <w:rsid w:val="004876B5"/>
    <w:rsid w:val="00492764"/>
    <w:rsid w:val="00493BED"/>
    <w:rsid w:val="004944FA"/>
    <w:rsid w:val="004978A6"/>
    <w:rsid w:val="004A1FAC"/>
    <w:rsid w:val="004A56BB"/>
    <w:rsid w:val="004B0438"/>
    <w:rsid w:val="004B1742"/>
    <w:rsid w:val="004B1751"/>
    <w:rsid w:val="004B1953"/>
    <w:rsid w:val="004B3E10"/>
    <w:rsid w:val="004C2213"/>
    <w:rsid w:val="004D56FF"/>
    <w:rsid w:val="004E02DA"/>
    <w:rsid w:val="004E39D3"/>
    <w:rsid w:val="004E508A"/>
    <w:rsid w:val="004E616D"/>
    <w:rsid w:val="004F1BDE"/>
    <w:rsid w:val="004F2366"/>
    <w:rsid w:val="004F3F2A"/>
    <w:rsid w:val="004F4FAE"/>
    <w:rsid w:val="004F7F44"/>
    <w:rsid w:val="005053EF"/>
    <w:rsid w:val="00505936"/>
    <w:rsid w:val="005079BF"/>
    <w:rsid w:val="005114C5"/>
    <w:rsid w:val="00513309"/>
    <w:rsid w:val="005166C4"/>
    <w:rsid w:val="00522FD8"/>
    <w:rsid w:val="00524E0F"/>
    <w:rsid w:val="00524F65"/>
    <w:rsid w:val="00531B9A"/>
    <w:rsid w:val="00531CB8"/>
    <w:rsid w:val="00531D15"/>
    <w:rsid w:val="005368C0"/>
    <w:rsid w:val="00540B6D"/>
    <w:rsid w:val="00540C51"/>
    <w:rsid w:val="00542377"/>
    <w:rsid w:val="005425C5"/>
    <w:rsid w:val="005457A7"/>
    <w:rsid w:val="00554D27"/>
    <w:rsid w:val="00555247"/>
    <w:rsid w:val="0056025E"/>
    <w:rsid w:val="005606F1"/>
    <w:rsid w:val="0056269F"/>
    <w:rsid w:val="00563EF1"/>
    <w:rsid w:val="00566AB4"/>
    <w:rsid w:val="00570F40"/>
    <w:rsid w:val="00575AC5"/>
    <w:rsid w:val="0057605D"/>
    <w:rsid w:val="00581347"/>
    <w:rsid w:val="005843FA"/>
    <w:rsid w:val="005849F8"/>
    <w:rsid w:val="0058612B"/>
    <w:rsid w:val="00586FD5"/>
    <w:rsid w:val="0059198F"/>
    <w:rsid w:val="005938DF"/>
    <w:rsid w:val="005946CE"/>
    <w:rsid w:val="00595CAC"/>
    <w:rsid w:val="005A099B"/>
    <w:rsid w:val="005A2D9C"/>
    <w:rsid w:val="005A6A11"/>
    <w:rsid w:val="005A6D1B"/>
    <w:rsid w:val="005B2FD4"/>
    <w:rsid w:val="005B4B4A"/>
    <w:rsid w:val="005C06B7"/>
    <w:rsid w:val="005C2285"/>
    <w:rsid w:val="005C4E67"/>
    <w:rsid w:val="005C617F"/>
    <w:rsid w:val="005C7653"/>
    <w:rsid w:val="005D22D3"/>
    <w:rsid w:val="005D2502"/>
    <w:rsid w:val="005D3DF7"/>
    <w:rsid w:val="005D49BF"/>
    <w:rsid w:val="005E0852"/>
    <w:rsid w:val="005E3ACD"/>
    <w:rsid w:val="005E6831"/>
    <w:rsid w:val="005E7A57"/>
    <w:rsid w:val="005F24B0"/>
    <w:rsid w:val="005F42D0"/>
    <w:rsid w:val="005F612F"/>
    <w:rsid w:val="00601DBE"/>
    <w:rsid w:val="006035B3"/>
    <w:rsid w:val="006052CF"/>
    <w:rsid w:val="00607B8D"/>
    <w:rsid w:val="00610CB4"/>
    <w:rsid w:val="00611176"/>
    <w:rsid w:val="00611F5C"/>
    <w:rsid w:val="006155DE"/>
    <w:rsid w:val="00616E09"/>
    <w:rsid w:val="00625C25"/>
    <w:rsid w:val="00627D4E"/>
    <w:rsid w:val="00632963"/>
    <w:rsid w:val="00632B55"/>
    <w:rsid w:val="0063443F"/>
    <w:rsid w:val="00634478"/>
    <w:rsid w:val="006369B8"/>
    <w:rsid w:val="0064165B"/>
    <w:rsid w:val="00641DF2"/>
    <w:rsid w:val="00643522"/>
    <w:rsid w:val="00644373"/>
    <w:rsid w:val="00644A36"/>
    <w:rsid w:val="00645915"/>
    <w:rsid w:val="00645DED"/>
    <w:rsid w:val="00650F97"/>
    <w:rsid w:val="006519C3"/>
    <w:rsid w:val="00652648"/>
    <w:rsid w:val="00652B30"/>
    <w:rsid w:val="0065418E"/>
    <w:rsid w:val="00654D14"/>
    <w:rsid w:val="00656266"/>
    <w:rsid w:val="00656345"/>
    <w:rsid w:val="00656DC6"/>
    <w:rsid w:val="00662939"/>
    <w:rsid w:val="006635A8"/>
    <w:rsid w:val="00664110"/>
    <w:rsid w:val="00664D17"/>
    <w:rsid w:val="00664DDC"/>
    <w:rsid w:val="006658D2"/>
    <w:rsid w:val="00666520"/>
    <w:rsid w:val="00666B60"/>
    <w:rsid w:val="00667C5B"/>
    <w:rsid w:val="0067030A"/>
    <w:rsid w:val="00671500"/>
    <w:rsid w:val="00675636"/>
    <w:rsid w:val="0067563C"/>
    <w:rsid w:val="00675E08"/>
    <w:rsid w:val="006800E4"/>
    <w:rsid w:val="006819A3"/>
    <w:rsid w:val="00682677"/>
    <w:rsid w:val="00692C9D"/>
    <w:rsid w:val="00692CDE"/>
    <w:rsid w:val="00692E15"/>
    <w:rsid w:val="00692F39"/>
    <w:rsid w:val="006942F4"/>
    <w:rsid w:val="006977FF"/>
    <w:rsid w:val="006A01FA"/>
    <w:rsid w:val="006A0E9E"/>
    <w:rsid w:val="006A25C7"/>
    <w:rsid w:val="006A2733"/>
    <w:rsid w:val="006A3AF4"/>
    <w:rsid w:val="006A4AAD"/>
    <w:rsid w:val="006A4CF6"/>
    <w:rsid w:val="006A4D03"/>
    <w:rsid w:val="006A6028"/>
    <w:rsid w:val="006A60F9"/>
    <w:rsid w:val="006A6DA2"/>
    <w:rsid w:val="006A7910"/>
    <w:rsid w:val="006A7AB2"/>
    <w:rsid w:val="006B0ED2"/>
    <w:rsid w:val="006B3588"/>
    <w:rsid w:val="006B5717"/>
    <w:rsid w:val="006B6193"/>
    <w:rsid w:val="006C0CEB"/>
    <w:rsid w:val="006C3B1E"/>
    <w:rsid w:val="006C4730"/>
    <w:rsid w:val="006C47FD"/>
    <w:rsid w:val="006C7FF8"/>
    <w:rsid w:val="006D16D3"/>
    <w:rsid w:val="006D27CB"/>
    <w:rsid w:val="006D2F08"/>
    <w:rsid w:val="006D799F"/>
    <w:rsid w:val="006E0C81"/>
    <w:rsid w:val="006E4320"/>
    <w:rsid w:val="006E4B1B"/>
    <w:rsid w:val="006E5445"/>
    <w:rsid w:val="006E6D19"/>
    <w:rsid w:val="006E7D93"/>
    <w:rsid w:val="006F483C"/>
    <w:rsid w:val="006F4E60"/>
    <w:rsid w:val="00702075"/>
    <w:rsid w:val="007029A3"/>
    <w:rsid w:val="007059AD"/>
    <w:rsid w:val="00706E4E"/>
    <w:rsid w:val="00706F0A"/>
    <w:rsid w:val="007078D5"/>
    <w:rsid w:val="0070791C"/>
    <w:rsid w:val="00710C8C"/>
    <w:rsid w:val="0071170B"/>
    <w:rsid w:val="0071383C"/>
    <w:rsid w:val="007138BB"/>
    <w:rsid w:val="007141A7"/>
    <w:rsid w:val="00714CB0"/>
    <w:rsid w:val="00715CE1"/>
    <w:rsid w:val="00720A26"/>
    <w:rsid w:val="00721B55"/>
    <w:rsid w:val="00726CE4"/>
    <w:rsid w:val="00734143"/>
    <w:rsid w:val="00737673"/>
    <w:rsid w:val="00740EAC"/>
    <w:rsid w:val="00744956"/>
    <w:rsid w:val="00745A5C"/>
    <w:rsid w:val="0074605F"/>
    <w:rsid w:val="00747E94"/>
    <w:rsid w:val="0075386E"/>
    <w:rsid w:val="007540FD"/>
    <w:rsid w:val="00760C41"/>
    <w:rsid w:val="00761AD9"/>
    <w:rsid w:val="00767C1B"/>
    <w:rsid w:val="007714A9"/>
    <w:rsid w:val="00771971"/>
    <w:rsid w:val="007723D7"/>
    <w:rsid w:val="00774F88"/>
    <w:rsid w:val="00777BA2"/>
    <w:rsid w:val="00781408"/>
    <w:rsid w:val="00784F7F"/>
    <w:rsid w:val="00796F25"/>
    <w:rsid w:val="00797FFE"/>
    <w:rsid w:val="007A1410"/>
    <w:rsid w:val="007A2E98"/>
    <w:rsid w:val="007A3BA3"/>
    <w:rsid w:val="007A5E54"/>
    <w:rsid w:val="007B1499"/>
    <w:rsid w:val="007B1BBF"/>
    <w:rsid w:val="007B223D"/>
    <w:rsid w:val="007B2960"/>
    <w:rsid w:val="007B34A1"/>
    <w:rsid w:val="007B355D"/>
    <w:rsid w:val="007B5AB5"/>
    <w:rsid w:val="007B6D65"/>
    <w:rsid w:val="007B7980"/>
    <w:rsid w:val="007C0626"/>
    <w:rsid w:val="007C38C2"/>
    <w:rsid w:val="007C5D5A"/>
    <w:rsid w:val="007C607F"/>
    <w:rsid w:val="007C79DD"/>
    <w:rsid w:val="007C7EAB"/>
    <w:rsid w:val="007D1263"/>
    <w:rsid w:val="007D1A97"/>
    <w:rsid w:val="007D2CD6"/>
    <w:rsid w:val="007D3063"/>
    <w:rsid w:val="007D7319"/>
    <w:rsid w:val="007F0B51"/>
    <w:rsid w:val="007F49FA"/>
    <w:rsid w:val="007F6E9A"/>
    <w:rsid w:val="00801969"/>
    <w:rsid w:val="008044D4"/>
    <w:rsid w:val="00810AB4"/>
    <w:rsid w:val="00814414"/>
    <w:rsid w:val="00817695"/>
    <w:rsid w:val="00817B56"/>
    <w:rsid w:val="00821A88"/>
    <w:rsid w:val="008239F0"/>
    <w:rsid w:val="0082495D"/>
    <w:rsid w:val="00827049"/>
    <w:rsid w:val="0083309D"/>
    <w:rsid w:val="00835AAA"/>
    <w:rsid w:val="00861E6C"/>
    <w:rsid w:val="00865A81"/>
    <w:rsid w:val="00866022"/>
    <w:rsid w:val="00872145"/>
    <w:rsid w:val="008744F6"/>
    <w:rsid w:val="00880B3E"/>
    <w:rsid w:val="00881D9E"/>
    <w:rsid w:val="00883628"/>
    <w:rsid w:val="00885544"/>
    <w:rsid w:val="008901CB"/>
    <w:rsid w:val="00893AB8"/>
    <w:rsid w:val="00893FF0"/>
    <w:rsid w:val="00894211"/>
    <w:rsid w:val="0089622E"/>
    <w:rsid w:val="0089723A"/>
    <w:rsid w:val="008977BE"/>
    <w:rsid w:val="008A04C8"/>
    <w:rsid w:val="008B6B09"/>
    <w:rsid w:val="008B707B"/>
    <w:rsid w:val="008B70F3"/>
    <w:rsid w:val="008B76DF"/>
    <w:rsid w:val="008C28A4"/>
    <w:rsid w:val="008D03FB"/>
    <w:rsid w:val="008D23EA"/>
    <w:rsid w:val="008D2B9D"/>
    <w:rsid w:val="008D42DC"/>
    <w:rsid w:val="008E4767"/>
    <w:rsid w:val="008E5B5C"/>
    <w:rsid w:val="008E6D33"/>
    <w:rsid w:val="008F6829"/>
    <w:rsid w:val="00902519"/>
    <w:rsid w:val="00903285"/>
    <w:rsid w:val="00906F40"/>
    <w:rsid w:val="0090731E"/>
    <w:rsid w:val="0090756A"/>
    <w:rsid w:val="00915B1C"/>
    <w:rsid w:val="0091797D"/>
    <w:rsid w:val="0092165D"/>
    <w:rsid w:val="00923CBA"/>
    <w:rsid w:val="00924413"/>
    <w:rsid w:val="00926703"/>
    <w:rsid w:val="00927691"/>
    <w:rsid w:val="00927A5F"/>
    <w:rsid w:val="00927BD7"/>
    <w:rsid w:val="009305F3"/>
    <w:rsid w:val="00932253"/>
    <w:rsid w:val="009324A7"/>
    <w:rsid w:val="00937851"/>
    <w:rsid w:val="00941FB0"/>
    <w:rsid w:val="009426D4"/>
    <w:rsid w:val="009446A8"/>
    <w:rsid w:val="00953B16"/>
    <w:rsid w:val="0095490B"/>
    <w:rsid w:val="00955CEB"/>
    <w:rsid w:val="00955D15"/>
    <w:rsid w:val="009648A7"/>
    <w:rsid w:val="00965CB6"/>
    <w:rsid w:val="00966DF2"/>
    <w:rsid w:val="00967BA2"/>
    <w:rsid w:val="00970A79"/>
    <w:rsid w:val="00974363"/>
    <w:rsid w:val="0097676B"/>
    <w:rsid w:val="009805F7"/>
    <w:rsid w:val="00981220"/>
    <w:rsid w:val="00981AA4"/>
    <w:rsid w:val="00981E1B"/>
    <w:rsid w:val="00991453"/>
    <w:rsid w:val="009927E3"/>
    <w:rsid w:val="00993A40"/>
    <w:rsid w:val="00996E9D"/>
    <w:rsid w:val="009A2A1E"/>
    <w:rsid w:val="009B01E2"/>
    <w:rsid w:val="009B049D"/>
    <w:rsid w:val="009B0B73"/>
    <w:rsid w:val="009B151A"/>
    <w:rsid w:val="009B24A1"/>
    <w:rsid w:val="009B3E04"/>
    <w:rsid w:val="009B4E9E"/>
    <w:rsid w:val="009C0FC0"/>
    <w:rsid w:val="009C0FF7"/>
    <w:rsid w:val="009C1690"/>
    <w:rsid w:val="009C3CD9"/>
    <w:rsid w:val="009C41CD"/>
    <w:rsid w:val="009C60DB"/>
    <w:rsid w:val="009C6881"/>
    <w:rsid w:val="009C7759"/>
    <w:rsid w:val="009D0A75"/>
    <w:rsid w:val="009D39BD"/>
    <w:rsid w:val="009D5661"/>
    <w:rsid w:val="009D6C71"/>
    <w:rsid w:val="009D79D1"/>
    <w:rsid w:val="009E16D0"/>
    <w:rsid w:val="009E24B3"/>
    <w:rsid w:val="009E2D09"/>
    <w:rsid w:val="009E38FD"/>
    <w:rsid w:val="009F13D6"/>
    <w:rsid w:val="009F2122"/>
    <w:rsid w:val="009F24D9"/>
    <w:rsid w:val="009F3EE3"/>
    <w:rsid w:val="009F4C6B"/>
    <w:rsid w:val="009F78A8"/>
    <w:rsid w:val="00A00233"/>
    <w:rsid w:val="00A010C4"/>
    <w:rsid w:val="00A02CF1"/>
    <w:rsid w:val="00A050B3"/>
    <w:rsid w:val="00A07318"/>
    <w:rsid w:val="00A100D1"/>
    <w:rsid w:val="00A11370"/>
    <w:rsid w:val="00A14A58"/>
    <w:rsid w:val="00A14AAC"/>
    <w:rsid w:val="00A202EA"/>
    <w:rsid w:val="00A2077C"/>
    <w:rsid w:val="00A224CE"/>
    <w:rsid w:val="00A22522"/>
    <w:rsid w:val="00A22FCE"/>
    <w:rsid w:val="00A24F5C"/>
    <w:rsid w:val="00A26421"/>
    <w:rsid w:val="00A27799"/>
    <w:rsid w:val="00A32232"/>
    <w:rsid w:val="00A34B01"/>
    <w:rsid w:val="00A40871"/>
    <w:rsid w:val="00A440E0"/>
    <w:rsid w:val="00A4702F"/>
    <w:rsid w:val="00A64F2F"/>
    <w:rsid w:val="00A66500"/>
    <w:rsid w:val="00A70A3B"/>
    <w:rsid w:val="00A70ADF"/>
    <w:rsid w:val="00A712DD"/>
    <w:rsid w:val="00A71466"/>
    <w:rsid w:val="00A714CF"/>
    <w:rsid w:val="00A717B8"/>
    <w:rsid w:val="00A74B5E"/>
    <w:rsid w:val="00A75948"/>
    <w:rsid w:val="00A76226"/>
    <w:rsid w:val="00A76571"/>
    <w:rsid w:val="00A807ED"/>
    <w:rsid w:val="00A81BED"/>
    <w:rsid w:val="00A81EC4"/>
    <w:rsid w:val="00A96447"/>
    <w:rsid w:val="00A96FCA"/>
    <w:rsid w:val="00AB156C"/>
    <w:rsid w:val="00AC007B"/>
    <w:rsid w:val="00AC0787"/>
    <w:rsid w:val="00AC2B71"/>
    <w:rsid w:val="00AC5772"/>
    <w:rsid w:val="00AD0167"/>
    <w:rsid w:val="00AD1A1B"/>
    <w:rsid w:val="00AD3082"/>
    <w:rsid w:val="00AD483F"/>
    <w:rsid w:val="00AD4AD0"/>
    <w:rsid w:val="00AD5E90"/>
    <w:rsid w:val="00AD60CD"/>
    <w:rsid w:val="00AD6C8C"/>
    <w:rsid w:val="00AD7BD7"/>
    <w:rsid w:val="00AE091D"/>
    <w:rsid w:val="00AE17C7"/>
    <w:rsid w:val="00AE53A1"/>
    <w:rsid w:val="00AE7D34"/>
    <w:rsid w:val="00AF2484"/>
    <w:rsid w:val="00AF31CE"/>
    <w:rsid w:val="00AF400D"/>
    <w:rsid w:val="00AF4CA7"/>
    <w:rsid w:val="00AF63E7"/>
    <w:rsid w:val="00B0165D"/>
    <w:rsid w:val="00B0239B"/>
    <w:rsid w:val="00B025D7"/>
    <w:rsid w:val="00B031F3"/>
    <w:rsid w:val="00B041E7"/>
    <w:rsid w:val="00B052A4"/>
    <w:rsid w:val="00B10536"/>
    <w:rsid w:val="00B11D1F"/>
    <w:rsid w:val="00B125DE"/>
    <w:rsid w:val="00B12D7D"/>
    <w:rsid w:val="00B132A4"/>
    <w:rsid w:val="00B13FDD"/>
    <w:rsid w:val="00B14269"/>
    <w:rsid w:val="00B22EB2"/>
    <w:rsid w:val="00B23652"/>
    <w:rsid w:val="00B26386"/>
    <w:rsid w:val="00B27442"/>
    <w:rsid w:val="00B30604"/>
    <w:rsid w:val="00B31167"/>
    <w:rsid w:val="00B329D8"/>
    <w:rsid w:val="00B32BB9"/>
    <w:rsid w:val="00B335E0"/>
    <w:rsid w:val="00B33AE1"/>
    <w:rsid w:val="00B35A39"/>
    <w:rsid w:val="00B4141E"/>
    <w:rsid w:val="00B41855"/>
    <w:rsid w:val="00B4288C"/>
    <w:rsid w:val="00B43546"/>
    <w:rsid w:val="00B44100"/>
    <w:rsid w:val="00B46CBA"/>
    <w:rsid w:val="00B46F94"/>
    <w:rsid w:val="00B55A63"/>
    <w:rsid w:val="00B55EC7"/>
    <w:rsid w:val="00B57982"/>
    <w:rsid w:val="00B614B9"/>
    <w:rsid w:val="00B61F03"/>
    <w:rsid w:val="00B626E4"/>
    <w:rsid w:val="00B676E2"/>
    <w:rsid w:val="00B72517"/>
    <w:rsid w:val="00B72F4A"/>
    <w:rsid w:val="00B83C27"/>
    <w:rsid w:val="00B84BC3"/>
    <w:rsid w:val="00B84BDD"/>
    <w:rsid w:val="00B876A8"/>
    <w:rsid w:val="00B92812"/>
    <w:rsid w:val="00B92DDF"/>
    <w:rsid w:val="00BA28BA"/>
    <w:rsid w:val="00BA3EF4"/>
    <w:rsid w:val="00BB3A61"/>
    <w:rsid w:val="00BB7686"/>
    <w:rsid w:val="00BC15F7"/>
    <w:rsid w:val="00BC23F9"/>
    <w:rsid w:val="00BC242E"/>
    <w:rsid w:val="00BC3421"/>
    <w:rsid w:val="00BC731B"/>
    <w:rsid w:val="00BD0EB2"/>
    <w:rsid w:val="00BE0692"/>
    <w:rsid w:val="00BE2580"/>
    <w:rsid w:val="00BE266D"/>
    <w:rsid w:val="00BE2A44"/>
    <w:rsid w:val="00BE4C11"/>
    <w:rsid w:val="00BE71C0"/>
    <w:rsid w:val="00BF1330"/>
    <w:rsid w:val="00BF5702"/>
    <w:rsid w:val="00BF69A4"/>
    <w:rsid w:val="00C00B91"/>
    <w:rsid w:val="00C051CE"/>
    <w:rsid w:val="00C06615"/>
    <w:rsid w:val="00C10CFD"/>
    <w:rsid w:val="00C1274D"/>
    <w:rsid w:val="00C2240B"/>
    <w:rsid w:val="00C25E30"/>
    <w:rsid w:val="00C32CFB"/>
    <w:rsid w:val="00C33454"/>
    <w:rsid w:val="00C34486"/>
    <w:rsid w:val="00C353BF"/>
    <w:rsid w:val="00C42171"/>
    <w:rsid w:val="00C45155"/>
    <w:rsid w:val="00C5070A"/>
    <w:rsid w:val="00C5115E"/>
    <w:rsid w:val="00C52660"/>
    <w:rsid w:val="00C5498F"/>
    <w:rsid w:val="00C64CD0"/>
    <w:rsid w:val="00C64DE2"/>
    <w:rsid w:val="00C6684F"/>
    <w:rsid w:val="00C708DD"/>
    <w:rsid w:val="00C70E70"/>
    <w:rsid w:val="00C73C14"/>
    <w:rsid w:val="00C75F8D"/>
    <w:rsid w:val="00C77B4F"/>
    <w:rsid w:val="00C81508"/>
    <w:rsid w:val="00C81DD5"/>
    <w:rsid w:val="00C82626"/>
    <w:rsid w:val="00C82B10"/>
    <w:rsid w:val="00C87594"/>
    <w:rsid w:val="00C878E2"/>
    <w:rsid w:val="00C901E6"/>
    <w:rsid w:val="00C90F63"/>
    <w:rsid w:val="00CA11E1"/>
    <w:rsid w:val="00CA1B2A"/>
    <w:rsid w:val="00CA31D7"/>
    <w:rsid w:val="00CA4E97"/>
    <w:rsid w:val="00CA53B6"/>
    <w:rsid w:val="00CA60B5"/>
    <w:rsid w:val="00CB1E82"/>
    <w:rsid w:val="00CB4BA8"/>
    <w:rsid w:val="00CB52D7"/>
    <w:rsid w:val="00CB7FFA"/>
    <w:rsid w:val="00CC0BB8"/>
    <w:rsid w:val="00CC14BE"/>
    <w:rsid w:val="00CC2D25"/>
    <w:rsid w:val="00CC49C5"/>
    <w:rsid w:val="00CD655E"/>
    <w:rsid w:val="00CE00EB"/>
    <w:rsid w:val="00CE06B3"/>
    <w:rsid w:val="00CE18D6"/>
    <w:rsid w:val="00CE4F23"/>
    <w:rsid w:val="00CE51A8"/>
    <w:rsid w:val="00CE6072"/>
    <w:rsid w:val="00CE6BA3"/>
    <w:rsid w:val="00CE6D2E"/>
    <w:rsid w:val="00CF254D"/>
    <w:rsid w:val="00CF369B"/>
    <w:rsid w:val="00CF74CE"/>
    <w:rsid w:val="00D01FB5"/>
    <w:rsid w:val="00D04F60"/>
    <w:rsid w:val="00D15810"/>
    <w:rsid w:val="00D16A0C"/>
    <w:rsid w:val="00D16D4E"/>
    <w:rsid w:val="00D1753E"/>
    <w:rsid w:val="00D2129F"/>
    <w:rsid w:val="00D271B7"/>
    <w:rsid w:val="00D27F41"/>
    <w:rsid w:val="00D30471"/>
    <w:rsid w:val="00D31AD0"/>
    <w:rsid w:val="00D327E0"/>
    <w:rsid w:val="00D35BFA"/>
    <w:rsid w:val="00D35E37"/>
    <w:rsid w:val="00D36441"/>
    <w:rsid w:val="00D4064E"/>
    <w:rsid w:val="00D41B4A"/>
    <w:rsid w:val="00D44E9B"/>
    <w:rsid w:val="00D4594F"/>
    <w:rsid w:val="00D503F7"/>
    <w:rsid w:val="00D50DB9"/>
    <w:rsid w:val="00D52C43"/>
    <w:rsid w:val="00D52DA6"/>
    <w:rsid w:val="00D60D08"/>
    <w:rsid w:val="00D623D0"/>
    <w:rsid w:val="00D6507F"/>
    <w:rsid w:val="00D72059"/>
    <w:rsid w:val="00D72213"/>
    <w:rsid w:val="00D73529"/>
    <w:rsid w:val="00D807F0"/>
    <w:rsid w:val="00D83139"/>
    <w:rsid w:val="00D843B2"/>
    <w:rsid w:val="00D84A3C"/>
    <w:rsid w:val="00D865B7"/>
    <w:rsid w:val="00D87B94"/>
    <w:rsid w:val="00D92D49"/>
    <w:rsid w:val="00DA0ED8"/>
    <w:rsid w:val="00DA26A5"/>
    <w:rsid w:val="00DA26B9"/>
    <w:rsid w:val="00DA4E41"/>
    <w:rsid w:val="00DA6CB7"/>
    <w:rsid w:val="00DB052E"/>
    <w:rsid w:val="00DB117A"/>
    <w:rsid w:val="00DB5173"/>
    <w:rsid w:val="00DB5C9D"/>
    <w:rsid w:val="00DB7873"/>
    <w:rsid w:val="00DB793C"/>
    <w:rsid w:val="00DC187B"/>
    <w:rsid w:val="00DC4DCC"/>
    <w:rsid w:val="00DC6D58"/>
    <w:rsid w:val="00DD2141"/>
    <w:rsid w:val="00DD6EDB"/>
    <w:rsid w:val="00DD73C2"/>
    <w:rsid w:val="00DE282B"/>
    <w:rsid w:val="00DE319B"/>
    <w:rsid w:val="00DF34FE"/>
    <w:rsid w:val="00DF37E1"/>
    <w:rsid w:val="00DF72C2"/>
    <w:rsid w:val="00DF78E7"/>
    <w:rsid w:val="00E06A34"/>
    <w:rsid w:val="00E07D12"/>
    <w:rsid w:val="00E10107"/>
    <w:rsid w:val="00E10DE3"/>
    <w:rsid w:val="00E1248F"/>
    <w:rsid w:val="00E15371"/>
    <w:rsid w:val="00E24104"/>
    <w:rsid w:val="00E24194"/>
    <w:rsid w:val="00E27F5C"/>
    <w:rsid w:val="00E314C7"/>
    <w:rsid w:val="00E31A33"/>
    <w:rsid w:val="00E333A7"/>
    <w:rsid w:val="00E33D05"/>
    <w:rsid w:val="00E41ECB"/>
    <w:rsid w:val="00E45ABC"/>
    <w:rsid w:val="00E477F1"/>
    <w:rsid w:val="00E513C9"/>
    <w:rsid w:val="00E520CF"/>
    <w:rsid w:val="00E54FDB"/>
    <w:rsid w:val="00E5573B"/>
    <w:rsid w:val="00E563D7"/>
    <w:rsid w:val="00E6056A"/>
    <w:rsid w:val="00E66068"/>
    <w:rsid w:val="00E663F4"/>
    <w:rsid w:val="00E666F2"/>
    <w:rsid w:val="00E748CC"/>
    <w:rsid w:val="00E74B11"/>
    <w:rsid w:val="00E75415"/>
    <w:rsid w:val="00E7566F"/>
    <w:rsid w:val="00E80955"/>
    <w:rsid w:val="00E84640"/>
    <w:rsid w:val="00E93629"/>
    <w:rsid w:val="00E94CEC"/>
    <w:rsid w:val="00EA04EF"/>
    <w:rsid w:val="00EA0914"/>
    <w:rsid w:val="00EA2CDF"/>
    <w:rsid w:val="00EA35BC"/>
    <w:rsid w:val="00EA3C1C"/>
    <w:rsid w:val="00EA63E1"/>
    <w:rsid w:val="00EA6F19"/>
    <w:rsid w:val="00EB023E"/>
    <w:rsid w:val="00EB2176"/>
    <w:rsid w:val="00EB360F"/>
    <w:rsid w:val="00EB7090"/>
    <w:rsid w:val="00EC0AD4"/>
    <w:rsid w:val="00EC0C03"/>
    <w:rsid w:val="00EC2A97"/>
    <w:rsid w:val="00EC552D"/>
    <w:rsid w:val="00EC5CD7"/>
    <w:rsid w:val="00ED2DAC"/>
    <w:rsid w:val="00ED5A4E"/>
    <w:rsid w:val="00EE5FB3"/>
    <w:rsid w:val="00EE6A16"/>
    <w:rsid w:val="00EF18FB"/>
    <w:rsid w:val="00EF2497"/>
    <w:rsid w:val="00EF742E"/>
    <w:rsid w:val="00F1171B"/>
    <w:rsid w:val="00F126CF"/>
    <w:rsid w:val="00F179D4"/>
    <w:rsid w:val="00F27D96"/>
    <w:rsid w:val="00F33476"/>
    <w:rsid w:val="00F33C56"/>
    <w:rsid w:val="00F3466F"/>
    <w:rsid w:val="00F347C7"/>
    <w:rsid w:val="00F34848"/>
    <w:rsid w:val="00F369D5"/>
    <w:rsid w:val="00F378B9"/>
    <w:rsid w:val="00F42D46"/>
    <w:rsid w:val="00F4496C"/>
    <w:rsid w:val="00F471EF"/>
    <w:rsid w:val="00F53EB9"/>
    <w:rsid w:val="00F55822"/>
    <w:rsid w:val="00F614C0"/>
    <w:rsid w:val="00F62C72"/>
    <w:rsid w:val="00F8074D"/>
    <w:rsid w:val="00F80851"/>
    <w:rsid w:val="00F83848"/>
    <w:rsid w:val="00F90DC5"/>
    <w:rsid w:val="00F91274"/>
    <w:rsid w:val="00F9195B"/>
    <w:rsid w:val="00F963D1"/>
    <w:rsid w:val="00F975E7"/>
    <w:rsid w:val="00FA0DEA"/>
    <w:rsid w:val="00FA1B7D"/>
    <w:rsid w:val="00FA3C19"/>
    <w:rsid w:val="00FA5645"/>
    <w:rsid w:val="00FB1693"/>
    <w:rsid w:val="00FB2C1D"/>
    <w:rsid w:val="00FB75F5"/>
    <w:rsid w:val="00FB77B6"/>
    <w:rsid w:val="00FC1D8D"/>
    <w:rsid w:val="00FC49FD"/>
    <w:rsid w:val="00FC4E21"/>
    <w:rsid w:val="00FC5F6D"/>
    <w:rsid w:val="00FD2C2F"/>
    <w:rsid w:val="00FD2F83"/>
    <w:rsid w:val="00FD3B31"/>
    <w:rsid w:val="00FD4F7D"/>
    <w:rsid w:val="00FD5270"/>
    <w:rsid w:val="00FD6A54"/>
    <w:rsid w:val="00FE1823"/>
    <w:rsid w:val="00FE1994"/>
    <w:rsid w:val="00FE4851"/>
    <w:rsid w:val="00FE487A"/>
    <w:rsid w:val="00FF0569"/>
    <w:rsid w:val="00FF785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5">
      <o:colormru v:ext="edit" colors="red,#4d4d4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uiPriority="39"/>
    <w:lsdException w:name="Normal Indent" w:semiHidden="1"/>
    <w:lsdException w:name="footnote text" w:uiPriority="99"/>
    <w:lsdException w:name="annotation text" w:semiHidden="1" w:uiPriority="99"/>
    <w:lsdException w:name="index heading" w:semiHidden="1"/>
    <w:lsdException w:name="caption" w:qFormat="1"/>
    <w:lsdException w:name="envelope address" w:semiHidden="1"/>
    <w:lsdException w:name="envelope return" w:semiHidden="1"/>
    <w:lsdException w:name="footnote reference" w:uiPriority="99"/>
    <w:lsdException w:name="annotation reference" w:semiHidden="1" w:uiPriority="99"/>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uiPriority="20"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D17"/>
    <w:pPr>
      <w:spacing w:line="240" w:lineRule="atLeast"/>
    </w:pPr>
    <w:rPr>
      <w:rFonts w:ascii="HelveticaNeueLT Std Lt" w:hAnsi="HelveticaNeueLT Std Lt"/>
      <w:szCs w:val="24"/>
    </w:rPr>
  </w:style>
  <w:style w:type="paragraph" w:styleId="Heading1">
    <w:name w:val="heading 1"/>
    <w:basedOn w:val="Normal"/>
    <w:next w:val="Normal"/>
    <w:qFormat/>
    <w:rsid w:val="00777BA2"/>
    <w:pPr>
      <w:keepNext/>
      <w:pageBreakBefore/>
      <w:widowControl w:val="0"/>
      <w:spacing w:after="360" w:line="550" w:lineRule="exact"/>
      <w:outlineLvl w:val="0"/>
    </w:pPr>
    <w:rPr>
      <w:rFonts w:cs="Arial"/>
      <w:bCs/>
      <w:color w:val="4D4D4F"/>
      <w:kern w:val="32"/>
      <w:sz w:val="53"/>
      <w:szCs w:val="32"/>
    </w:rPr>
  </w:style>
  <w:style w:type="paragraph" w:styleId="Heading2">
    <w:name w:val="heading 2"/>
    <w:basedOn w:val="Normal"/>
    <w:next w:val="Normal"/>
    <w:link w:val="Heading2Char"/>
    <w:qFormat/>
    <w:rsid w:val="003D71A3"/>
    <w:pPr>
      <w:keepNext/>
      <w:spacing w:before="60" w:after="60"/>
      <w:outlineLvl w:val="1"/>
    </w:pPr>
    <w:rPr>
      <w:rFonts w:ascii="HelveticaNeueLT Std" w:hAnsi="HelveticaNeueLT Std" w:cs="Arial"/>
      <w:b/>
      <w:bCs/>
      <w:iCs/>
      <w:sz w:val="28"/>
      <w:szCs w:val="28"/>
    </w:rPr>
  </w:style>
  <w:style w:type="paragraph" w:styleId="Heading3">
    <w:name w:val="heading 3"/>
    <w:basedOn w:val="Normal"/>
    <w:next w:val="Normal"/>
    <w:qFormat/>
    <w:rsid w:val="00D52C43"/>
    <w:pPr>
      <w:keepNext/>
      <w:spacing w:before="60" w:after="60"/>
      <w:outlineLvl w:val="2"/>
    </w:pPr>
    <w:rPr>
      <w:rFonts w:ascii="HelveticaNeueLT Std" w:hAnsi="HelveticaNeueLT Std" w:cs="Arial"/>
      <w:b/>
      <w:bCs/>
      <w:szCs w:val="26"/>
    </w:rPr>
  </w:style>
  <w:style w:type="paragraph" w:styleId="Heading4">
    <w:name w:val="heading 4"/>
    <w:basedOn w:val="Normal"/>
    <w:next w:val="Normal"/>
    <w:qFormat/>
    <w:rsid w:val="00BE4C11"/>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E4C11"/>
    <w:pPr>
      <w:spacing w:before="240" w:after="60"/>
      <w:outlineLvl w:val="4"/>
    </w:pPr>
    <w:rPr>
      <w:b/>
      <w:bCs/>
      <w:i/>
      <w:iCs/>
      <w:sz w:val="26"/>
      <w:szCs w:val="26"/>
    </w:rPr>
  </w:style>
  <w:style w:type="paragraph" w:styleId="Heading6">
    <w:name w:val="heading 6"/>
    <w:basedOn w:val="Normal"/>
    <w:next w:val="Normal"/>
    <w:qFormat/>
    <w:rsid w:val="00BE4C11"/>
    <w:pPr>
      <w:spacing w:before="240" w:after="60"/>
      <w:outlineLvl w:val="5"/>
    </w:pPr>
    <w:rPr>
      <w:rFonts w:ascii="Times New Roman" w:hAnsi="Times New Roman"/>
      <w:b/>
      <w:bCs/>
      <w:sz w:val="22"/>
      <w:szCs w:val="22"/>
    </w:rPr>
  </w:style>
  <w:style w:type="paragraph" w:styleId="Heading7">
    <w:name w:val="heading 7"/>
    <w:basedOn w:val="Normal"/>
    <w:next w:val="Normal"/>
    <w:qFormat/>
    <w:rsid w:val="00BE4C11"/>
    <w:pPr>
      <w:spacing w:before="240" w:after="60"/>
      <w:outlineLvl w:val="6"/>
    </w:pPr>
    <w:rPr>
      <w:rFonts w:ascii="Times New Roman" w:hAnsi="Times New Roman"/>
      <w:sz w:val="24"/>
    </w:rPr>
  </w:style>
  <w:style w:type="paragraph" w:styleId="Heading8">
    <w:name w:val="heading 8"/>
    <w:basedOn w:val="Normal"/>
    <w:next w:val="Normal"/>
    <w:qFormat/>
    <w:rsid w:val="00BE4C11"/>
    <w:pPr>
      <w:spacing w:before="240" w:after="60"/>
      <w:outlineLvl w:val="7"/>
    </w:pPr>
    <w:rPr>
      <w:rFonts w:ascii="Times New Roman" w:hAnsi="Times New Roman"/>
      <w:i/>
      <w:iCs/>
      <w:sz w:val="24"/>
    </w:rPr>
  </w:style>
  <w:style w:type="paragraph" w:styleId="Heading9">
    <w:name w:val="heading 9"/>
    <w:basedOn w:val="Normal"/>
    <w:next w:val="Normal"/>
    <w:qFormat/>
    <w:rsid w:val="00BE4C1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EA"/>
    <w:rPr>
      <w:rFonts w:ascii="Lucida Grande" w:hAnsi="Lucida Grande"/>
      <w:sz w:val="18"/>
      <w:szCs w:val="18"/>
    </w:rPr>
  </w:style>
  <w:style w:type="paragraph" w:styleId="Header">
    <w:name w:val="header"/>
    <w:basedOn w:val="Normal"/>
    <w:semiHidden/>
    <w:rsid w:val="0070791C"/>
    <w:pPr>
      <w:tabs>
        <w:tab w:val="center" w:pos="4153"/>
        <w:tab w:val="right" w:pos="8306"/>
      </w:tabs>
      <w:spacing w:line="240" w:lineRule="auto"/>
    </w:pPr>
    <w:rPr>
      <w:sz w:val="16"/>
    </w:rPr>
  </w:style>
  <w:style w:type="paragraph" w:styleId="Footer">
    <w:name w:val="footer"/>
    <w:basedOn w:val="Normal"/>
    <w:semiHidden/>
    <w:rsid w:val="0070791C"/>
    <w:pPr>
      <w:tabs>
        <w:tab w:val="center" w:pos="4153"/>
        <w:tab w:val="right" w:pos="8306"/>
      </w:tabs>
      <w:spacing w:line="240" w:lineRule="auto"/>
    </w:pPr>
    <w:rPr>
      <w:sz w:val="16"/>
    </w:rPr>
  </w:style>
  <w:style w:type="paragraph" w:customStyle="1" w:styleId="ReportTitle">
    <w:name w:val="Report Title"/>
    <w:basedOn w:val="Normal"/>
    <w:rsid w:val="00226819"/>
    <w:pPr>
      <w:spacing w:line="560" w:lineRule="exact"/>
    </w:pPr>
    <w:rPr>
      <w:rFonts w:ascii="HelveticaNeueLT Std Med" w:hAnsi="HelveticaNeueLT Std Med"/>
      <w:b/>
      <w:color w:val="4D4D4F"/>
      <w:spacing w:val="-28"/>
      <w:sz w:val="53"/>
    </w:rPr>
  </w:style>
  <w:style w:type="paragraph" w:customStyle="1" w:styleId="ReportSubtitle">
    <w:name w:val="Report Sub title"/>
    <w:basedOn w:val="Normal"/>
    <w:rsid w:val="00226819"/>
    <w:pPr>
      <w:spacing w:line="560" w:lineRule="exact"/>
    </w:pPr>
    <w:rPr>
      <w:color w:val="808285"/>
      <w:spacing w:val="-28"/>
      <w:sz w:val="53"/>
    </w:rPr>
  </w:style>
  <w:style w:type="table" w:styleId="TableGrid">
    <w:name w:val="Table Grid"/>
    <w:basedOn w:val="TableNormal"/>
    <w:semiHidden/>
    <w:rsid w:val="0022681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Date">
    <w:name w:val="Report Date"/>
    <w:basedOn w:val="ReportSubtitle"/>
    <w:rsid w:val="00226819"/>
    <w:pPr>
      <w:spacing w:line="240" w:lineRule="auto"/>
    </w:pPr>
    <w:rPr>
      <w:caps/>
      <w:spacing w:val="-10"/>
      <w:sz w:val="20"/>
    </w:rPr>
  </w:style>
  <w:style w:type="paragraph" w:customStyle="1" w:styleId="TableHeading">
    <w:name w:val="Table Heading"/>
    <w:basedOn w:val="Normal"/>
    <w:rsid w:val="00721B55"/>
    <w:rPr>
      <w:rFonts w:ascii="HelveticaNeueLT Std" w:hAnsi="HelveticaNeueLT Std"/>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customStyle="1" w:styleId="CorporateAddresses">
    <w:name w:val="Corporate Addresses"/>
    <w:basedOn w:val="Normal"/>
    <w:semiHidden/>
    <w:rsid w:val="00454596"/>
    <w:pPr>
      <w:spacing w:line="140" w:lineRule="exact"/>
    </w:pPr>
    <w:rPr>
      <w:color w:val="4D4D4F"/>
      <w:sz w:val="13"/>
    </w:rPr>
  </w:style>
  <w:style w:type="paragraph" w:styleId="TOCHeading">
    <w:name w:val="TOC Heading"/>
    <w:basedOn w:val="Normal"/>
    <w:qFormat/>
    <w:rsid w:val="000A4A51"/>
    <w:pPr>
      <w:spacing w:line="240" w:lineRule="auto"/>
    </w:pPr>
    <w:rPr>
      <w:rFonts w:ascii="HelveticaNeueLT Std Med" w:hAnsi="HelveticaNeueLT Std Med"/>
      <w:b/>
      <w:color w:val="4D4D4F"/>
      <w:spacing w:val="-28"/>
      <w:sz w:val="53"/>
    </w:rPr>
  </w:style>
  <w:style w:type="paragraph" w:styleId="Caption">
    <w:name w:val="caption"/>
    <w:basedOn w:val="Normal"/>
    <w:next w:val="Normal"/>
    <w:link w:val="CaptionChar"/>
    <w:qFormat/>
    <w:rsid w:val="00B052A4"/>
    <w:rPr>
      <w:rFonts w:ascii="HelveticaNeueLT Std" w:hAnsi="HelveticaNeueLT Std"/>
      <w:b/>
      <w:bCs/>
      <w:color w:val="808285"/>
      <w:szCs w:val="20"/>
    </w:rPr>
  </w:style>
  <w:style w:type="paragraph" w:customStyle="1" w:styleId="Bodysubheader">
    <w:name w:val="Body sub header"/>
    <w:basedOn w:val="Normal"/>
    <w:next w:val="Normal"/>
    <w:rsid w:val="007B355D"/>
    <w:rPr>
      <w:rFonts w:ascii="HelveticaNeueLT Std" w:hAnsi="HelveticaNeueLT Std"/>
      <w:b/>
      <w:i/>
    </w:rPr>
  </w:style>
  <w:style w:type="paragraph" w:styleId="ListBullet">
    <w:name w:val="List Bullet"/>
    <w:basedOn w:val="Normal"/>
    <w:rsid w:val="001C6AEE"/>
    <w:pPr>
      <w:numPr>
        <w:numId w:val="1"/>
      </w:numPr>
      <w:spacing w:after="80"/>
    </w:pPr>
  </w:style>
  <w:style w:type="paragraph" w:styleId="ListBullet2">
    <w:name w:val="List Bullet 2"/>
    <w:basedOn w:val="Normal"/>
    <w:rsid w:val="001C6AEE"/>
    <w:pPr>
      <w:numPr>
        <w:numId w:val="2"/>
      </w:numPr>
      <w:spacing w:after="80"/>
    </w:pPr>
  </w:style>
  <w:style w:type="paragraph" w:styleId="ListNumber">
    <w:name w:val="List Number"/>
    <w:basedOn w:val="Normal"/>
    <w:rsid w:val="001C6AEE"/>
    <w:pPr>
      <w:numPr>
        <w:numId w:val="6"/>
      </w:numPr>
      <w:spacing w:after="80"/>
    </w:pPr>
  </w:style>
  <w:style w:type="paragraph" w:styleId="ListNumber2">
    <w:name w:val="List Number 2"/>
    <w:basedOn w:val="Normal"/>
    <w:rsid w:val="001C6AEE"/>
    <w:pPr>
      <w:numPr>
        <w:numId w:val="7"/>
      </w:numPr>
      <w:spacing w:after="80"/>
    </w:pPr>
  </w:style>
  <w:style w:type="paragraph" w:customStyle="1" w:styleId="URLEmail">
    <w:name w:val="URL/Email"/>
    <w:basedOn w:val="Normal"/>
    <w:semiHidden/>
    <w:rsid w:val="00302480"/>
    <w:rPr>
      <w:color w:val="4D4D4F"/>
      <w:spacing w:val="4"/>
    </w:rPr>
  </w:style>
  <w:style w:type="paragraph" w:customStyle="1" w:styleId="ExecSummaryHeading">
    <w:name w:val="Exec Summary Heading"/>
    <w:basedOn w:val="Normal"/>
    <w:rsid w:val="009D6C71"/>
    <w:pPr>
      <w:spacing w:after="1440" w:line="550" w:lineRule="exact"/>
    </w:pPr>
    <w:rPr>
      <w:rFonts w:ascii="HelveticaNeueLT Std Med" w:hAnsi="HelveticaNeueLT Std Med"/>
      <w:b/>
      <w:color w:val="4D4D4F"/>
      <w:spacing w:val="-18"/>
      <w:sz w:val="53"/>
    </w:rPr>
  </w:style>
  <w:style w:type="character" w:styleId="PageNumber0">
    <w:name w:val="page number"/>
    <w:basedOn w:val="DefaultParagraphFont"/>
    <w:semiHidden/>
    <w:rsid w:val="00542377"/>
  </w:style>
  <w:style w:type="paragraph" w:styleId="TOC1">
    <w:name w:val="toc 1"/>
    <w:basedOn w:val="Normal"/>
    <w:next w:val="Normal"/>
    <w:uiPriority w:val="39"/>
    <w:rsid w:val="00E75415"/>
    <w:pPr>
      <w:tabs>
        <w:tab w:val="right" w:pos="7660"/>
      </w:tabs>
      <w:spacing w:before="280" w:line="320" w:lineRule="exact"/>
      <w:ind w:right="851"/>
    </w:pPr>
    <w:rPr>
      <w:rFonts w:ascii="HelveticaNeueLT Std Med" w:hAnsi="HelveticaNeueLT Std Med"/>
      <w:b/>
      <w:noProof/>
      <w:color w:val="808285"/>
      <w:spacing w:val="-14"/>
      <w:sz w:val="28"/>
    </w:rPr>
  </w:style>
  <w:style w:type="paragraph" w:styleId="TOC2">
    <w:name w:val="toc 2"/>
    <w:basedOn w:val="Normal"/>
    <w:next w:val="Normal"/>
    <w:uiPriority w:val="39"/>
    <w:rsid w:val="00C70E70"/>
    <w:pPr>
      <w:tabs>
        <w:tab w:val="right" w:pos="7660"/>
      </w:tabs>
      <w:spacing w:line="300" w:lineRule="exact"/>
      <w:ind w:left="885" w:hanging="885"/>
    </w:pPr>
    <w:rPr>
      <w:rFonts w:ascii="HelveticaNeueLT Std" w:hAnsi="HelveticaNeueLT Std"/>
      <w:noProof/>
      <w:color w:val="808285"/>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rsid w:val="00C70E70"/>
    <w:pPr>
      <w:tabs>
        <w:tab w:val="right" w:pos="7661"/>
      </w:tabs>
      <w:spacing w:line="240" w:lineRule="auto"/>
    </w:pPr>
    <w:rPr>
      <w:noProof/>
      <w:color w:val="808285"/>
      <w:sz w:val="22"/>
      <w:szCs w:val="22"/>
    </w:rPr>
  </w:style>
  <w:style w:type="character" w:styleId="Hyperlink">
    <w:name w:val="Hyperlink"/>
    <w:basedOn w:val="DefaultParagraphFont"/>
    <w:uiPriority w:val="99"/>
    <w:rsid w:val="003A5F5B"/>
    <w:rPr>
      <w:color w:val="0000FF"/>
      <w:u w:val="single"/>
    </w:rPr>
  </w:style>
  <w:style w:type="character" w:styleId="FootnoteReference">
    <w:name w:val="footnote reference"/>
    <w:aliases w:val="(NECG) Footnote Reference,(NECG) Footnote Reference1,(NECG) Footnote Reference2,o"/>
    <w:basedOn w:val="DefaultParagraphFont"/>
    <w:uiPriority w:val="99"/>
    <w:rsid w:val="00566AB4"/>
    <w:rPr>
      <w:rFonts w:ascii="Arial" w:hAnsi="Arial"/>
      <w:vertAlign w:val="superscript"/>
    </w:rPr>
  </w:style>
  <w:style w:type="paragraph" w:styleId="FootnoteText">
    <w:name w:val="footnote text"/>
    <w:aliases w:val="ACMA Footnote Text"/>
    <w:basedOn w:val="Normal"/>
    <w:link w:val="FootnoteTextChar"/>
    <w:uiPriority w:val="99"/>
    <w:rsid w:val="00566AB4"/>
    <w:rPr>
      <w:sz w:val="16"/>
      <w:szCs w:val="16"/>
    </w:rPr>
  </w:style>
  <w:style w:type="paragraph" w:customStyle="1" w:styleId="TableBody">
    <w:name w:val="Table Body"/>
    <w:basedOn w:val="Normal"/>
    <w:rsid w:val="00D44E9B"/>
    <w:pPr>
      <w:spacing w:line="240" w:lineRule="auto"/>
    </w:pPr>
  </w:style>
  <w:style w:type="paragraph" w:styleId="TOC9">
    <w:name w:val="toc 9"/>
    <w:basedOn w:val="Normal"/>
    <w:next w:val="Normal"/>
    <w:uiPriority w:val="39"/>
    <w:rsid w:val="00C70E70"/>
    <w:pPr>
      <w:tabs>
        <w:tab w:val="right" w:pos="7660"/>
      </w:tabs>
      <w:spacing w:before="280" w:line="320" w:lineRule="exact"/>
    </w:pPr>
    <w:rPr>
      <w:rFonts w:ascii="HelveticaNeueLT Std Med" w:hAnsi="HelveticaNeueLT Std Med"/>
      <w:b/>
      <w:noProof/>
      <w:color w:val="808285"/>
      <w:sz w:val="28"/>
      <w:szCs w:val="28"/>
    </w:rPr>
  </w:style>
  <w:style w:type="character" w:customStyle="1" w:styleId="BalloonTextChar1">
    <w:name w:val="Balloon Text Char1"/>
    <w:basedOn w:val="DefaultParagraphFont"/>
    <w:link w:val="BalloonText"/>
    <w:semiHidden/>
    <w:rsid w:val="006A6DA2"/>
    <w:rPr>
      <w:rFonts w:ascii="Tahoma" w:hAnsi="Tahoma" w:cs="Tahoma"/>
      <w:sz w:val="16"/>
      <w:szCs w:val="16"/>
    </w:rPr>
  </w:style>
  <w:style w:type="paragraph" w:customStyle="1" w:styleId="ChapterHeading">
    <w:name w:val="Chapter Heading"/>
    <w:basedOn w:val="Normal"/>
    <w:rsid w:val="00DF34FE"/>
    <w:pPr>
      <w:spacing w:line="560" w:lineRule="exact"/>
    </w:pPr>
    <w:rPr>
      <w:color w:val="808285"/>
      <w:spacing w:val="-28"/>
      <w:sz w:val="53"/>
    </w:rPr>
  </w:style>
  <w:style w:type="character" w:customStyle="1" w:styleId="FootnoteTextChar">
    <w:name w:val="Footnote Text Char"/>
    <w:aliases w:val="ACMA Footnote Text Char"/>
    <w:basedOn w:val="DefaultParagraphFont"/>
    <w:link w:val="FootnoteText"/>
    <w:uiPriority w:val="99"/>
    <w:rsid w:val="009C0FC0"/>
    <w:rPr>
      <w:rFonts w:ascii="HelveticaNeueLT Std Lt" w:hAnsi="HelveticaNeueLT Std Lt"/>
      <w:sz w:val="16"/>
      <w:szCs w:val="16"/>
    </w:rPr>
  </w:style>
  <w:style w:type="character" w:styleId="Emphasis">
    <w:name w:val="Emphasis"/>
    <w:basedOn w:val="DefaultParagraphFont"/>
    <w:uiPriority w:val="20"/>
    <w:qFormat/>
    <w:rsid w:val="009C0FC0"/>
    <w:rPr>
      <w:i/>
      <w:iCs/>
    </w:rPr>
  </w:style>
  <w:style w:type="character" w:customStyle="1" w:styleId="Heading2Char">
    <w:name w:val="Heading 2 Char"/>
    <w:basedOn w:val="DefaultParagraphFont"/>
    <w:link w:val="Heading2"/>
    <w:rsid w:val="009C0FC0"/>
    <w:rPr>
      <w:rFonts w:ascii="HelveticaNeueLT Std" w:hAnsi="HelveticaNeueLT Std" w:cs="Arial"/>
      <w:b/>
      <w:bCs/>
      <w:iCs/>
      <w:sz w:val="28"/>
      <w:szCs w:val="28"/>
    </w:rPr>
  </w:style>
  <w:style w:type="character" w:styleId="CommentReference">
    <w:name w:val="annotation reference"/>
    <w:basedOn w:val="DefaultParagraphFont"/>
    <w:uiPriority w:val="99"/>
    <w:semiHidden/>
    <w:rsid w:val="009C0FC0"/>
    <w:rPr>
      <w:sz w:val="16"/>
      <w:szCs w:val="16"/>
    </w:rPr>
  </w:style>
  <w:style w:type="paragraph" w:styleId="ListParagraph">
    <w:name w:val="List Paragraph"/>
    <w:basedOn w:val="Normal"/>
    <w:uiPriority w:val="34"/>
    <w:qFormat/>
    <w:rsid w:val="00102E07"/>
    <w:pPr>
      <w:spacing w:after="200" w:line="276" w:lineRule="auto"/>
      <w:ind w:left="720"/>
      <w:contextualSpacing/>
    </w:pPr>
    <w:rPr>
      <w:rFonts w:asciiTheme="minorHAnsi" w:eastAsiaTheme="minorHAnsi" w:hAnsiTheme="minorHAnsi" w:cstheme="minorBidi"/>
      <w:sz w:val="22"/>
      <w:szCs w:val="22"/>
      <w:lang w:eastAsia="en-US"/>
    </w:rPr>
  </w:style>
  <w:style w:type="paragraph" w:styleId="CommentText">
    <w:name w:val="annotation text"/>
    <w:basedOn w:val="Normal"/>
    <w:link w:val="CommentTextChar"/>
    <w:uiPriority w:val="99"/>
    <w:semiHidden/>
    <w:unhideWhenUsed/>
    <w:rsid w:val="00B12D7D"/>
    <w:pPr>
      <w:spacing w:after="200" w:line="240" w:lineRule="auto"/>
    </w:pPr>
    <w:rPr>
      <w:rFonts w:asciiTheme="minorHAnsi" w:eastAsiaTheme="minorHAnsi" w:hAnsiTheme="minorHAnsi" w:cstheme="minorBidi"/>
      <w:szCs w:val="20"/>
      <w:lang w:eastAsia="en-US"/>
    </w:rPr>
  </w:style>
  <w:style w:type="character" w:customStyle="1" w:styleId="CommentTextChar">
    <w:name w:val="Comment Text Char"/>
    <w:basedOn w:val="DefaultParagraphFont"/>
    <w:link w:val="CommentText"/>
    <w:uiPriority w:val="99"/>
    <w:semiHidden/>
    <w:rsid w:val="00B12D7D"/>
    <w:rPr>
      <w:rFonts w:asciiTheme="minorHAnsi" w:eastAsiaTheme="minorHAnsi" w:hAnsiTheme="minorHAnsi" w:cstheme="minorBidi"/>
      <w:lang w:eastAsia="en-US"/>
    </w:rPr>
  </w:style>
  <w:style w:type="character" w:styleId="FollowedHyperlink">
    <w:name w:val="FollowedHyperlink"/>
    <w:basedOn w:val="DefaultParagraphFont"/>
    <w:semiHidden/>
    <w:rsid w:val="00B12D7D"/>
    <w:rPr>
      <w:color w:val="800080" w:themeColor="followedHyperlink"/>
      <w:u w:val="single"/>
    </w:rPr>
  </w:style>
  <w:style w:type="paragraph" w:styleId="CommentSubject">
    <w:name w:val="annotation subject"/>
    <w:basedOn w:val="CommentText"/>
    <w:next w:val="CommentText"/>
    <w:link w:val="CommentSubjectChar"/>
    <w:semiHidden/>
    <w:rsid w:val="005425C5"/>
    <w:pPr>
      <w:spacing w:after="0"/>
    </w:pPr>
    <w:rPr>
      <w:rFonts w:ascii="HelveticaNeueLT Std Lt" w:eastAsia="Times New Roman" w:hAnsi="HelveticaNeueLT Std Lt" w:cs="Times New Roman"/>
      <w:b/>
      <w:bCs/>
      <w:lang w:eastAsia="en-AU"/>
    </w:rPr>
  </w:style>
  <w:style w:type="character" w:customStyle="1" w:styleId="CommentSubjectChar">
    <w:name w:val="Comment Subject Char"/>
    <w:basedOn w:val="CommentTextChar"/>
    <w:link w:val="CommentSubject"/>
    <w:semiHidden/>
    <w:rsid w:val="005425C5"/>
    <w:rPr>
      <w:rFonts w:ascii="HelveticaNeueLT Std Lt" w:hAnsi="HelveticaNeueLT Std Lt"/>
      <w:b/>
      <w:bCs/>
    </w:rPr>
  </w:style>
  <w:style w:type="paragraph" w:styleId="EndnoteText">
    <w:name w:val="endnote text"/>
    <w:basedOn w:val="Normal"/>
    <w:link w:val="EndnoteTextChar"/>
    <w:rsid w:val="00AD5E90"/>
    <w:pPr>
      <w:spacing w:line="240" w:lineRule="auto"/>
    </w:pPr>
    <w:rPr>
      <w:rFonts w:ascii="Times New Roman" w:eastAsiaTheme="minorHAnsi" w:hAnsi="Times New Roman"/>
      <w:szCs w:val="20"/>
      <w:lang w:eastAsia="ko-KR"/>
    </w:rPr>
  </w:style>
  <w:style w:type="character" w:customStyle="1" w:styleId="EndnoteTextChar">
    <w:name w:val="Endnote Text Char"/>
    <w:basedOn w:val="DefaultParagraphFont"/>
    <w:link w:val="EndnoteText"/>
    <w:rsid w:val="00AD5E90"/>
    <w:rPr>
      <w:rFonts w:eastAsiaTheme="minorHAnsi"/>
      <w:lang w:eastAsia="ko-KR"/>
    </w:rPr>
  </w:style>
  <w:style w:type="character" w:styleId="EndnoteReference">
    <w:name w:val="endnote reference"/>
    <w:basedOn w:val="DefaultParagraphFont"/>
    <w:rsid w:val="00AD5E90"/>
    <w:rPr>
      <w:vertAlign w:val="superscript"/>
    </w:rPr>
  </w:style>
  <w:style w:type="character" w:customStyle="1" w:styleId="CaptionChar">
    <w:name w:val="Caption Char"/>
    <w:basedOn w:val="DefaultParagraphFont"/>
    <w:link w:val="Caption"/>
    <w:rsid w:val="00FB2C1D"/>
    <w:rPr>
      <w:rFonts w:ascii="HelveticaNeueLT Std" w:hAnsi="HelveticaNeueLT Std"/>
      <w:b/>
      <w:bCs/>
      <w:color w:val="808285"/>
    </w:rPr>
  </w:style>
  <w:style w:type="paragraph" w:styleId="Revision">
    <w:name w:val="Revision"/>
    <w:hidden/>
    <w:uiPriority w:val="99"/>
    <w:semiHidden/>
    <w:rsid w:val="00A807ED"/>
    <w:rPr>
      <w:rFonts w:ascii="HelveticaNeueLT Std Lt" w:hAnsi="HelveticaNeueLT Std Lt"/>
      <w:szCs w:val="24"/>
    </w:rPr>
  </w:style>
  <w:style w:type="paragraph" w:styleId="DocumentMap">
    <w:name w:val="Document Map"/>
    <w:basedOn w:val="Normal"/>
    <w:link w:val="DocumentMapChar"/>
    <w:semiHidden/>
    <w:rsid w:val="006F4E60"/>
    <w:pPr>
      <w:spacing w:line="240" w:lineRule="auto"/>
    </w:pPr>
    <w:rPr>
      <w:rFonts w:ascii="Lucida Grande" w:hAnsi="Lucida Grande"/>
      <w:sz w:val="24"/>
    </w:rPr>
  </w:style>
  <w:style w:type="character" w:customStyle="1" w:styleId="DocumentMapChar">
    <w:name w:val="Document Map Char"/>
    <w:basedOn w:val="DefaultParagraphFont"/>
    <w:link w:val="DocumentMap"/>
    <w:semiHidden/>
    <w:rsid w:val="006F4E60"/>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967901642">
      <w:bodyDiv w:val="1"/>
      <w:marLeft w:val="0"/>
      <w:marRight w:val="0"/>
      <w:marTop w:val="0"/>
      <w:marBottom w:val="0"/>
      <w:divBdr>
        <w:top w:val="none" w:sz="0" w:space="0" w:color="auto"/>
        <w:left w:val="none" w:sz="0" w:space="0" w:color="auto"/>
        <w:bottom w:val="none" w:sz="0" w:space="0" w:color="auto"/>
        <w:right w:val="none" w:sz="0" w:space="0" w:color="auto"/>
      </w:divBdr>
    </w:div>
    <w:div w:id="144639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yperlink" Target="http://archive.acma.gov.au/WEB/STANDARD/pc=PC_410120" TargetMode="External"/><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image" Target="media/image8.png"/><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hyperlink" Target="http://www.neustar.biz/information/img/ian/ianlifecyclensr-800px.png" TargetMode="External"/><Relationship Id="rId33" Type="http://schemas.openxmlformats.org/officeDocument/2006/relationships/hyperlink" Target="http://www.cybersmart.gov.au/Parents/Cyber%20issues/Digital%20reputation.aspx" TargetMode="External"/><Relationship Id="rId38" Type="http://schemas.openxmlformats.org/officeDocument/2006/relationships/hyperlink" Target="http://archive.acma.gov.au/WEB/STANDARD/990952/pc=PC_31147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regframe@acma.gov.au" TargetMode="External"/><Relationship Id="rId29" Type="http://schemas.openxmlformats.org/officeDocument/2006/relationships/chart" Target="charts/chart2.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acma.gov.au/theACMA/Library/researchacma/Services-and-emerging-technologies-research/emerging-issues-in-media-and-communications-occasional-papers" TargetMode="External"/><Relationship Id="rId32" Type="http://schemas.openxmlformats.org/officeDocument/2006/relationships/image" Target="media/image7.jpeg"/><Relationship Id="rId37" Type="http://schemas.openxmlformats.org/officeDocument/2006/relationships/hyperlink" Target="http://www.acma.gov.au/~/media/Consumer%20Interests/Research/pdf/Community%20research%20on%20informed%20consent%20Qualitative%20research%20report%20MARCH%202011.PDF" TargetMode="External"/><Relationship Id="rId40" Type="http://schemas.openxmlformats.org/officeDocument/2006/relationships/hyperlink" Target="http://archive.acma.gov.au/WEB/STANDARD/pc=PC_31179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chart" Target="charts/chart1.xml"/><Relationship Id="rId36" Type="http://schemas.openxmlformats.org/officeDocument/2006/relationships/hyperlink" Target="http://www.acma.gov.au/~/media/Digital%20Society%20Policy%20and%20Research/Information/Word%20Document/Digital%20Australians%20Expectations%20about%20media%20content%20in%20a%20converging%20media%20environment.PDF" TargetMode="Externa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6.png"/><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2.jpeg"/><Relationship Id="rId27" Type="http://schemas.openxmlformats.org/officeDocument/2006/relationships/hyperlink" Target="http://www.clueful.com" TargetMode="External"/><Relationship Id="rId30" Type="http://schemas.openxmlformats.org/officeDocument/2006/relationships/image" Target="media/image5.jpeg"/><Relationship Id="rId35" Type="http://schemas.openxmlformats.org/officeDocument/2006/relationships/hyperlink" Target="http://www.acma.gov.au/theACMA/Library/researchacma/Digital-society-research/here-there-and-everywhere-consumer-behaviour-and-location-services" TargetMode="External"/><Relationship Id="rId43" Type="http://schemas.openxmlformats.org/officeDocument/2006/relationships/footer" Target="footer7.xml"/></Relationships>
</file>

<file path=word/_rels/footnotes.xml.rels><?xml version="1.0" encoding="UTF-8" standalone="yes"?>
<Relationships xmlns="http://schemas.openxmlformats.org/package/2006/relationships"><Relationship Id="rId8" Type="http://schemas.openxmlformats.org/officeDocument/2006/relationships/hyperlink" Target="http://www.ovumkc.com/Products/Telecoms/Telco-Operations/Big-Data-Telco-Services-Case-Study-Telefonica-and-Verizon-Wireless/Telefonica" TargetMode="External"/><Relationship Id="rId13" Type="http://schemas.openxmlformats.org/officeDocument/2006/relationships/hyperlink" Target="http://www.globalservices.bt.com/uk/en/footer_links/privacy_policy" TargetMode="External"/><Relationship Id="rId18" Type="http://schemas.openxmlformats.org/officeDocument/2006/relationships/hyperlink" Target="http://au.businessinsider.com/location-data-is-transforming-mobile-2013-55" TargetMode="External"/><Relationship Id="rId26" Type="http://schemas.openxmlformats.org/officeDocument/2006/relationships/hyperlink" Target="http://www.ipc.on.ca/english/privacy/introduction-to-pbd/" TargetMode="External"/><Relationship Id="rId3" Type="http://schemas.openxmlformats.org/officeDocument/2006/relationships/hyperlink" Target="http://www.technologyreview.com/view/426235/is-personal-data-the-new-currency/" TargetMode="External"/><Relationship Id="rId21" Type="http://schemas.openxmlformats.org/officeDocument/2006/relationships/hyperlink" Target="http://news.mindprocessors.com/technology-news/beware-your-favourite-app-can-be-a-virus/" TargetMode="External"/><Relationship Id="rId7" Type="http://schemas.openxmlformats.org/officeDocument/2006/relationships/hyperlink" Target="http://www.neustar.biz/infoservices/technology/ian" TargetMode="External"/><Relationship Id="rId12" Type="http://schemas.openxmlformats.org/officeDocument/2006/relationships/hyperlink" Target="http://www.guardian.co.uk/technology/2012/oct/16/google-privacy-policies-eu-data-protection" TargetMode="External"/><Relationship Id="rId17" Type="http://schemas.openxmlformats.org/officeDocument/2006/relationships/hyperlink" Target="http://www.acma.gov.au/WEB/STANDARD/pc=PC_600063" TargetMode="External"/><Relationship Id="rId25" Type="http://schemas.openxmlformats.org/officeDocument/2006/relationships/hyperlink" Target="http://iabaustralia.com.au/sitecore/shell/Controls/Rich%20Text%20Editor//-/media/IAB/Resources/Presentations%20and%20Guidelines/Social%20Advertising%20Paid%20Guidelines%20April%202013.pdf" TargetMode="External"/><Relationship Id="rId2" Type="http://schemas.openxmlformats.org/officeDocument/2006/relationships/hyperlink" Target="http://www.austlii.edu.au/au/legis/nsw/consol_act/papipa1998464/s3.html" TargetMode="External"/><Relationship Id="rId16" Type="http://schemas.openxmlformats.org/officeDocument/2006/relationships/hyperlink" Target="http://www.unisyssecurityindex.com/usi/australia" TargetMode="External"/><Relationship Id="rId20" Type="http://schemas.openxmlformats.org/officeDocument/2006/relationships/hyperlink" Target="http://www.financialcoalition.se/internationellt-arbete/" TargetMode="External"/><Relationship Id="rId1" Type="http://schemas.openxmlformats.org/officeDocument/2006/relationships/hyperlink" Target="file:///C:\Users\bduhigg\AppData\Local\Microsoft\Windows\Temporary%20Internet%20Files\Content.Outlook\MVD1MCFU\www.guardian.co.uk\commentisfree\2013\jun\12\david-simon-wrong-nsa-capabilities" TargetMode="External"/><Relationship Id="rId6" Type="http://schemas.openxmlformats.org/officeDocument/2006/relationships/hyperlink" Target="http://forums.juniper.net/t5/Security-Mobility-Now/Exposing-Your-Personal-Information-There-s-An-App-for-That/ba-p/166058" TargetMode="External"/><Relationship Id="rId11" Type="http://schemas.openxmlformats.org/officeDocument/2006/relationships/hyperlink" Target="http://www.nytimes.com/2012/02/13/technology/start-ups-aim-to-help-users-put-a-price-on-their-personal-data.html?_r=1&amp;ref=business" TargetMode="External"/><Relationship Id="rId24" Type="http://schemas.openxmlformats.org/officeDocument/2006/relationships/hyperlink" Target="http://www.oecd.org/internet/interneteconomy/thereviewoftheoecdprivacyguidelines.htm" TargetMode="External"/><Relationship Id="rId5" Type="http://schemas.openxmlformats.org/officeDocument/2006/relationships/hyperlink" Target="http://www.ericsson.com/ericsson-mobility-report" TargetMode="External"/><Relationship Id="rId15" Type="http://schemas.openxmlformats.org/officeDocument/2006/relationships/hyperlink" Target="http://www.austlii.edu.au/au/legis/nsw/consol_act/papipa1998464/s3.html" TargetMode="External"/><Relationship Id="rId23" Type="http://schemas.openxmlformats.org/officeDocument/2006/relationships/hyperlink" Target="http://www.oaic.gov.au/privacy/privacy-act/the-privacy-act" TargetMode="External"/><Relationship Id="rId28" Type="http://schemas.openxmlformats.org/officeDocument/2006/relationships/hyperlink" Target="http://www.ftc.gov/opa/2013/04/internetthings.shtm" TargetMode="External"/><Relationship Id="rId10" Type="http://schemas.openxmlformats.org/officeDocument/2006/relationships/hyperlink" Target="https://www.personal.com" TargetMode="External"/><Relationship Id="rId19" Type="http://schemas.openxmlformats.org/officeDocument/2006/relationships/hyperlink" Target="http://www.acma.gov.au/theACMA/Library/researchacma/Digital-society-research/here-there-and-everywhere-consumer-behaviour-and-location-services" TargetMode="External"/><Relationship Id="rId4" Type="http://schemas.openxmlformats.org/officeDocument/2006/relationships/hyperlink" Target="http://www.acma.gov.au/theACMA/Library/researchacma/Digital-society-research/communications-report-201112-library-landing-page" TargetMode="External"/><Relationship Id="rId9" Type="http://schemas.openxmlformats.org/officeDocument/2006/relationships/hyperlink" Target="http://www.economist.com/news/science-and-technology/21578357-plan-assess-peoples-personal-characteristics-their-twitter-streams-no?fsrc=nlw|hig|5-23-2013|5763538|37806856|" TargetMode="External"/><Relationship Id="rId14" Type="http://schemas.openxmlformats.org/officeDocument/2006/relationships/hyperlink" Target="https://www.rune.com.sg/index.php/products-solutions/products/deadbolt" TargetMode="External"/><Relationship Id="rId22" Type="http://schemas.openxmlformats.org/officeDocument/2006/relationships/hyperlink" Target="http://www.acma.gov.au/webwr/_assets/main/lib310665/location_services_research.pdf" TargetMode="External"/><Relationship Id="rId27" Type="http://schemas.openxmlformats.org/officeDocument/2006/relationships/hyperlink" Target="http://www.guardian.co.uk/technology/2012/oct/16/google-privacy-policies-eu-data-prot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cact01srvp2\apps\Templates2007\ACMA\ACMA%20Report%20Basic.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ollins\AppData\Local\Microsoft\Windows\Temporary%20Internet%20Files\Content.Outlook\5YPB4HP7\states.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collins\AppData\Local\Microsoft\Windows\Temporary%20Internet%20Files\Content.Outlook\5YPB4HP7\stat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pieChart>
        <c:varyColors val="1"/>
        <c:ser>
          <c:idx val="0"/>
          <c:order val="0"/>
          <c:dLbls>
            <c:txPr>
              <a:bodyPr/>
              <a:lstStyle/>
              <a:p>
                <a:pPr>
                  <a:defRPr lang="en-AU"/>
                </a:pPr>
                <a:endParaRPr lang="en-US"/>
              </a:p>
            </c:txPr>
            <c:showPercent val="1"/>
            <c:showLeaderLines val="1"/>
          </c:dLbls>
          <c:cat>
            <c:strRef>
              <c:f>Sheet1!$A$1:$A$3</c:f>
              <c:strCache>
                <c:ptCount val="3"/>
                <c:pt idx="0">
                  <c:v>Will give inaccurate information to use service</c:v>
                </c:pt>
                <c:pt idx="1">
                  <c:v>Rather not use service than give inaccurate information</c:v>
                </c:pt>
                <c:pt idx="2">
                  <c:v>Never felt the need to give inaccurate information</c:v>
                </c:pt>
              </c:strCache>
            </c:strRef>
          </c:cat>
          <c:val>
            <c:numRef>
              <c:f>Sheet1!$B$1:$B$3</c:f>
              <c:numCache>
                <c:formatCode>General</c:formatCode>
                <c:ptCount val="3"/>
                <c:pt idx="0">
                  <c:v>47.4</c:v>
                </c:pt>
                <c:pt idx="1">
                  <c:v>36.1</c:v>
                </c:pt>
                <c:pt idx="2">
                  <c:v>16.5</c:v>
                </c:pt>
              </c:numCache>
            </c:numRef>
          </c:val>
        </c:ser>
        <c:firstSliceAng val="0"/>
      </c:pieChart>
    </c:plotArea>
    <c:legend>
      <c:legendPos val="r"/>
      <c:layout/>
      <c:txPr>
        <a:bodyPr/>
        <a:lstStyle/>
        <a:p>
          <a:pPr>
            <a:defRPr lang="en-AU"/>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autoTitleDeleted val="1"/>
    <c:plotArea>
      <c:layout/>
      <c:barChart>
        <c:barDir val="bar"/>
        <c:grouping val="clustered"/>
        <c:ser>
          <c:idx val="0"/>
          <c:order val="0"/>
          <c:dPt>
            <c:idx val="0"/>
            <c:spPr>
              <a:solidFill>
                <a:schemeClr val="accent3">
                  <a:lumMod val="75000"/>
                </a:schemeClr>
              </a:solidFill>
            </c:spPr>
          </c:dPt>
          <c:dPt>
            <c:idx val="1"/>
            <c:spPr>
              <a:solidFill>
                <a:schemeClr val="accent2"/>
              </a:solidFill>
            </c:spPr>
          </c:dPt>
          <c:dLbls>
            <c:txPr>
              <a:bodyPr/>
              <a:lstStyle/>
              <a:p>
                <a:pPr>
                  <a:defRPr lang="en-AU"/>
                </a:pPr>
                <a:endParaRPr lang="en-US"/>
              </a:p>
            </c:txPr>
            <c:showVal val="1"/>
          </c:dLbls>
          <c:cat>
            <c:strRef>
              <c:f>Sheet1!$A$25:$A$27</c:f>
              <c:strCache>
                <c:ptCount val="3"/>
                <c:pt idx="0">
                  <c:v>I do not see why the information is needed for me to use the site</c:v>
                </c:pt>
                <c:pt idx="1">
                  <c:v>I feel unsure how trustworthy the site is</c:v>
                </c:pt>
                <c:pt idx="2">
                  <c:v>The site has no clear and easily found policy on information privacy and security</c:v>
                </c:pt>
              </c:strCache>
            </c:strRef>
          </c:cat>
          <c:val>
            <c:numRef>
              <c:f>Sheet1!$B$25:$B$27</c:f>
              <c:numCache>
                <c:formatCode>General</c:formatCode>
                <c:ptCount val="3"/>
                <c:pt idx="0">
                  <c:v>32</c:v>
                </c:pt>
                <c:pt idx="1">
                  <c:v>27.3</c:v>
                </c:pt>
                <c:pt idx="2">
                  <c:v>18.100000000000001</c:v>
                </c:pt>
              </c:numCache>
            </c:numRef>
          </c:val>
        </c:ser>
        <c:axId val="36473856"/>
        <c:axId val="36475648"/>
      </c:barChart>
      <c:catAx>
        <c:axId val="36473856"/>
        <c:scaling>
          <c:orientation val="minMax"/>
        </c:scaling>
        <c:axPos val="l"/>
        <c:tickLblPos val="nextTo"/>
        <c:txPr>
          <a:bodyPr/>
          <a:lstStyle/>
          <a:p>
            <a:pPr>
              <a:defRPr lang="en-AU"/>
            </a:pPr>
            <a:endParaRPr lang="en-US"/>
          </a:p>
        </c:txPr>
        <c:crossAx val="36475648"/>
        <c:crosses val="autoZero"/>
        <c:auto val="1"/>
        <c:lblAlgn val="ctr"/>
        <c:lblOffset val="100"/>
      </c:catAx>
      <c:valAx>
        <c:axId val="36475648"/>
        <c:scaling>
          <c:orientation val="minMax"/>
        </c:scaling>
        <c:delete val="1"/>
        <c:axPos val="b"/>
        <c:majorGridlines/>
        <c:numFmt formatCode="General" sourceLinked="1"/>
        <c:tickLblPos val="none"/>
        <c:crossAx val="36473856"/>
        <c:crosses val="autoZero"/>
        <c:crossBetween val="between"/>
      </c:valAx>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5BCCC-C5C1-4C06-B612-5A86C395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ACMA Report Basic.dotm</Template>
  <TotalTime>4</TotalTime>
  <Pages>36</Pages>
  <Words>11966</Words>
  <Characters>68208</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Document</vt:lpstr>
    </vt:vector>
  </TitlesOfParts>
  <Company>acma</Company>
  <LinksUpToDate>false</LinksUpToDate>
  <CharactersWithSpaces>80014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personal data</dc:title>
  <dc:subject>Privacy and personal data</dc:subject>
  <dc:creator>ACMA</dc:creator>
  <cp:lastModifiedBy>Katrina La Galle</cp:lastModifiedBy>
  <cp:revision>3</cp:revision>
  <cp:lastPrinted>2013-06-21T00:46:00Z</cp:lastPrinted>
  <dcterms:created xsi:type="dcterms:W3CDTF">2013-06-21T00:46:00Z</dcterms:created>
  <dcterms:modified xsi:type="dcterms:W3CDTF">2013-06-21T00:48:00Z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
    <vt:lpwstr>2007</vt:lpwstr>
  </property>
  <property fmtid="{D5CDD505-2E9C-101B-9397-08002B2CF9AE}" pid="3" name="CH ver">
    <vt:lpwstr>17</vt:lpwstr>
  </property>
</Properties>
</file>